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851"/>
        <w:rPr>
          <w:rFonts w:asciiTheme="minorHAnsi" w:hAnsiTheme="minorHAnsi"/>
        </w:rPr>
      </w:pPr>
      <w:r>
        <w:rPr>
          <w:rFonts w:asciiTheme="minorHAnsi" w:hAnsiTheme="minorHAnsi"/>
          <w:noProof/>
          <w:sz w:val="12"/>
          <w:lang w:eastAsia="de-DE"/>
        </w:rPr>
        <w:drawing>
          <wp:anchor distT="0" distB="0" distL="114300" distR="114300" simplePos="0" relativeHeight="251661312" behindDoc="0" locked="0" layoutInCell="1" allowOverlap="0">
            <wp:simplePos x="0" y="0"/>
            <wp:positionH relativeFrom="column">
              <wp:posOffset>3552454</wp:posOffset>
            </wp:positionH>
            <wp:positionV relativeFrom="paragraph">
              <wp:posOffset>-196686</wp:posOffset>
            </wp:positionV>
            <wp:extent cx="2047875" cy="1022985"/>
            <wp:effectExtent l="0" t="0" r="9525"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Landkreis Götting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102298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lang w:eastAsia="de-DE"/>
        </w:rPr>
        <w:drawing>
          <wp:anchor distT="0" distB="0" distL="114300" distR="114300" simplePos="0" relativeHeight="251660288" behindDoc="0" locked="0" layoutInCell="1" allowOverlap="1">
            <wp:simplePos x="0" y="0"/>
            <wp:positionH relativeFrom="column">
              <wp:posOffset>-557178</wp:posOffset>
            </wp:positionH>
            <wp:positionV relativeFrom="paragraph">
              <wp:posOffset>-22388</wp:posOffset>
            </wp:positionV>
            <wp:extent cx="1771650" cy="54165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t Göttingen Logo TIFF.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650" cy="541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rPr>
        <w:tab/>
      </w:r>
    </w:p>
    <w:p>
      <w:pPr>
        <w:rPr>
          <w:rFonts w:asciiTheme="minorHAnsi" w:hAnsiTheme="minorHAnsi"/>
        </w:rPr>
      </w:pPr>
    </w:p>
    <w:p>
      <w:pPr>
        <w:rPr>
          <w:rFonts w:asciiTheme="minorHAnsi" w:hAnsiTheme="minorHAnsi"/>
        </w:rPr>
      </w:pPr>
    </w:p>
    <w:p>
      <w:pPr>
        <w:ind w:hanging="851"/>
        <w:rPr>
          <w:rFonts w:asciiTheme="minorHAnsi" w:hAnsiTheme="minorHAnsi"/>
        </w:rPr>
      </w:pPr>
    </w:p>
    <w:p>
      <w:pPr>
        <w:ind w:hanging="851"/>
        <w:jc w:val="left"/>
        <w:rPr>
          <w:rFonts w:asciiTheme="minorHAnsi" w:hAnsiTheme="minorHAnsi"/>
          <w:b/>
        </w:rPr>
      </w:pPr>
      <w:r>
        <w:rPr>
          <w:rFonts w:asciiTheme="minorHAnsi" w:hAnsiTheme="minorHAnsi"/>
          <w:b/>
        </w:rPr>
        <w:t>Handlungsweisend für alle Mitarbeiter*innen</w:t>
      </w:r>
      <w:r>
        <w:rPr>
          <w:rStyle w:val="Funotenzeichen"/>
          <w:rFonts w:asciiTheme="minorHAnsi" w:hAnsiTheme="minorHAnsi"/>
          <w:b/>
        </w:rPr>
        <w:footnoteReference w:id="1"/>
      </w:r>
      <w:r>
        <w:rPr>
          <w:rFonts w:asciiTheme="minorHAnsi" w:hAnsiTheme="minorHAnsi"/>
          <w:b/>
        </w:rPr>
        <w:t xml:space="preserve"> des</w:t>
      </w:r>
    </w:p>
    <w:p>
      <w:pPr>
        <w:spacing w:after="120"/>
        <w:ind w:left="-851"/>
        <w:jc w:val="left"/>
        <w:rPr>
          <w:rFonts w:asciiTheme="minorHAnsi" w:hAnsiTheme="minorHAnsi"/>
          <w:b/>
        </w:rPr>
      </w:pPr>
      <w:r>
        <w:rPr>
          <w:rFonts w:asciiTheme="minorHAnsi" w:hAnsiTheme="minorHAnsi"/>
          <w:b/>
        </w:rPr>
        <w:t>Landkreises Göttingen - Fachbereich Jobcenter und der</w:t>
      </w:r>
      <w:r>
        <w:rPr>
          <w:rFonts w:asciiTheme="minorHAnsi" w:hAnsiTheme="minorHAnsi"/>
          <w:b/>
        </w:rPr>
        <w:br/>
        <w:t>Stadt Göttingen - Fachbereich Jobcenter</w:t>
      </w:r>
    </w:p>
    <w:p>
      <w:pPr>
        <w:spacing w:after="120"/>
        <w:ind w:hanging="851"/>
        <w:rPr>
          <w:rFonts w:asciiTheme="minorHAnsi" w:hAnsiTheme="minorHAnsi" w:cs="Arial"/>
          <w:b/>
        </w:rPr>
      </w:pPr>
      <w:r>
        <w:rPr>
          <w:rFonts w:asciiTheme="minorHAnsi" w:hAnsiTheme="minorHAnsi" w:cs="Arial"/>
          <w:b/>
        </w:rPr>
        <w:t>Lfd. Nr.: 1</w:t>
      </w:r>
    </w:p>
    <w:p>
      <w:pPr>
        <w:ind w:hanging="851"/>
        <w:rPr>
          <w:rFonts w:asciiTheme="minorHAnsi" w:hAnsiTheme="minorHAnsi" w:cs="Arial"/>
          <w:b/>
        </w:rPr>
      </w:pPr>
      <w:r>
        <w:rPr>
          <w:rFonts w:asciiTheme="minorHAnsi" w:hAnsiTheme="minorHAnsi" w:cs="Arial"/>
          <w:b/>
        </w:rPr>
        <w:t>Bearbeitung: FD 56.x Frau Musterfrau</w:t>
      </w:r>
    </w:p>
    <w:p>
      <w:pPr>
        <w:ind w:hanging="851"/>
        <w:rPr>
          <w:rFonts w:asciiTheme="minorHAnsi" w:hAnsiTheme="minorHAnsi" w:cs="Arial"/>
        </w:rPr>
      </w:pPr>
    </w:p>
    <w:p>
      <w:pPr>
        <w:rPr>
          <w:rFonts w:asciiTheme="minorHAnsi" w:hAnsiTheme="minorHAnsi" w:cs="Arial"/>
        </w:rPr>
      </w:pPr>
    </w:p>
    <w:p>
      <w:pPr>
        <w:ind w:left="-709"/>
        <w:jc w:val="center"/>
        <w:rPr>
          <w:rFonts w:asciiTheme="minorHAnsi" w:hAnsiTheme="minorHAnsi" w:cs="Arial"/>
          <w:b/>
          <w:sz w:val="32"/>
        </w:rPr>
      </w:pPr>
      <w:r>
        <w:rPr>
          <w:rFonts w:asciiTheme="minorHAnsi" w:hAnsiTheme="minorHAnsi" w:cs="Arial"/>
          <w:b/>
          <w:sz w:val="32"/>
        </w:rPr>
        <w:t>- Organisatorische Regelung -</w:t>
      </w:r>
    </w:p>
    <w:p>
      <w:pPr>
        <w:ind w:left="-709"/>
        <w:jc w:val="center"/>
        <w:rPr>
          <w:rFonts w:asciiTheme="minorHAnsi" w:hAnsiTheme="minorHAnsi"/>
          <w:b/>
          <w:sz w:val="32"/>
          <w:szCs w:val="28"/>
        </w:rPr>
      </w:pPr>
      <w:r>
        <w:rPr>
          <w:rFonts w:asciiTheme="minorHAnsi" w:hAnsiTheme="minorHAnsi"/>
          <w:b/>
          <w:sz w:val="32"/>
          <w:szCs w:val="28"/>
        </w:rPr>
        <w:t>Jobcenter-Intranet (JCI)</w:t>
      </w:r>
    </w:p>
    <w:p>
      <w:pPr>
        <w:jc w:val="center"/>
        <w:rPr>
          <w:rFonts w:asciiTheme="minorHAnsi" w:hAnsiTheme="minorHAnsi" w:cs="Arial"/>
          <w:b/>
          <w:bCs/>
          <w:sz w:val="32"/>
        </w:rPr>
      </w:pPr>
      <w:r>
        <w:rPr>
          <w:rFonts w:asciiTheme="minorHAnsi" w:hAnsiTheme="minorHAnsi" w:cs="Arial"/>
          <w:b/>
          <w:bCs/>
          <w:sz w:val="32"/>
        </w:rPr>
        <w:t xml:space="preserve"> </w:t>
      </w:r>
    </w:p>
    <w:p>
      <w:pPr>
        <w:ind w:left="-284" w:hanging="567"/>
        <w:jc w:val="center"/>
        <w:rPr>
          <w:rFonts w:asciiTheme="minorHAnsi" w:hAnsiTheme="minorHAnsi" w:cs="Arial"/>
          <w:b/>
          <w:bCs/>
          <w:sz w:val="28"/>
        </w:rPr>
      </w:pPr>
    </w:p>
    <w:sdt>
      <w:sdtPr>
        <w:rPr>
          <w:rFonts w:asciiTheme="minorHAnsi" w:eastAsiaTheme="minorHAnsi" w:hAnsiTheme="minorHAnsi" w:cstheme="minorBidi"/>
          <w:b w:val="0"/>
          <w:bCs w:val="0"/>
          <w:color w:val="auto"/>
          <w:sz w:val="22"/>
          <w:szCs w:val="22"/>
          <w:lang w:eastAsia="en-US"/>
        </w:rPr>
        <w:id w:val="1827002715"/>
        <w:docPartObj>
          <w:docPartGallery w:val="Table of Contents"/>
          <w:docPartUnique/>
        </w:docPartObj>
      </w:sdtPr>
      <w:sdtEndPr>
        <w:rPr>
          <w:rFonts w:ascii="Calibri" w:hAnsi="Calibri" w:cs="Times New Roman"/>
          <w:szCs w:val="24"/>
        </w:rPr>
      </w:sdtEndPr>
      <w:sdtContent>
        <w:p>
          <w:pPr>
            <w:pStyle w:val="Inhaltsverzeichnisberschrift"/>
            <w:spacing w:before="240"/>
            <w:ind w:left="-284" w:hanging="567"/>
            <w:rPr>
              <w:rFonts w:asciiTheme="minorHAnsi" w:hAnsiTheme="minorHAnsi"/>
              <w:color w:val="auto"/>
            </w:rPr>
          </w:pPr>
          <w:r>
            <w:rPr>
              <w:rFonts w:asciiTheme="minorHAnsi" w:hAnsiTheme="minorHAnsi"/>
              <w:color w:val="auto"/>
            </w:rPr>
            <w:t>Inhaltsverzeichnis</w:t>
          </w:r>
        </w:p>
        <w:p>
          <w:pPr>
            <w:pStyle w:val="Verzeichnis1"/>
            <w:rPr>
              <w:rFonts w:eastAsiaTheme="minorEastAsia"/>
              <w:b w:val="0"/>
              <w:lang w:eastAsia="de-DE"/>
            </w:rPr>
          </w:pPr>
          <w:r>
            <w:fldChar w:fldCharType="begin"/>
          </w:r>
          <w:r>
            <w:instrText xml:space="preserve"> TOC \o "1-5" \h \z \u </w:instrText>
          </w:r>
          <w:r>
            <w:fldChar w:fldCharType="separate"/>
          </w:r>
          <w:hyperlink w:anchor="_Toc76115951" w:history="1">
            <w:r>
              <w:rPr>
                <w:rStyle w:val="Hyperlink"/>
                <w:snapToGrid w:val="0"/>
              </w:rPr>
              <w:t>1.</w:t>
            </w:r>
            <w:r>
              <w:rPr>
                <w:rFonts w:eastAsiaTheme="minorEastAsia"/>
                <w:b w:val="0"/>
                <w:lang w:eastAsia="de-DE"/>
              </w:rPr>
              <w:tab/>
            </w:r>
            <w:r>
              <w:rPr>
                <w:rStyle w:val="Hyperlink"/>
                <w:snapToGrid w:val="0"/>
              </w:rPr>
              <w:t>Überschriftenebene 1</w:t>
            </w:r>
            <w:r>
              <w:rPr>
                <w:webHidden/>
              </w:rPr>
              <w:tab/>
            </w:r>
            <w:r>
              <w:rPr>
                <w:webHidden/>
              </w:rPr>
              <w:fldChar w:fldCharType="begin"/>
            </w:r>
            <w:r>
              <w:rPr>
                <w:webHidden/>
              </w:rPr>
              <w:instrText xml:space="preserve"> PAGEREF _Toc76115951 \h </w:instrText>
            </w:r>
            <w:r>
              <w:rPr>
                <w:webHidden/>
              </w:rPr>
            </w:r>
            <w:r>
              <w:rPr>
                <w:webHidden/>
              </w:rPr>
              <w:fldChar w:fldCharType="separate"/>
            </w:r>
            <w:r>
              <w:rPr>
                <w:webHidden/>
              </w:rPr>
              <w:t>2</w:t>
            </w:r>
            <w:r>
              <w:rPr>
                <w:webHidden/>
              </w:rPr>
              <w:fldChar w:fldCharType="end"/>
            </w:r>
          </w:hyperlink>
        </w:p>
        <w:p>
          <w:pPr>
            <w:pStyle w:val="Verzeichnis2"/>
            <w:rPr>
              <w:rFonts w:eastAsiaTheme="minorEastAsia"/>
              <w:noProof/>
              <w:lang w:eastAsia="de-DE"/>
            </w:rPr>
          </w:pPr>
          <w:hyperlink w:anchor="_Toc76115952" w:history="1">
            <w:r>
              <w:rPr>
                <w:rStyle w:val="Hyperlink"/>
                <w:rFonts w:cs="Arial"/>
                <w:b/>
                <w:noProof/>
                <w:snapToGrid w:val="0"/>
              </w:rPr>
              <w:t>1.1.</w:t>
            </w:r>
            <w:r>
              <w:rPr>
                <w:rFonts w:eastAsiaTheme="minorEastAsia"/>
                <w:noProof/>
                <w:lang w:eastAsia="de-DE"/>
              </w:rPr>
              <w:tab/>
            </w:r>
            <w:r>
              <w:rPr>
                <w:rStyle w:val="Hyperlink"/>
                <w:rFonts w:cs="Arial"/>
                <w:b/>
                <w:noProof/>
                <w:snapToGrid w:val="0"/>
              </w:rPr>
              <w:t>Überschriftenebene 2</w:t>
            </w:r>
            <w:r>
              <w:rPr>
                <w:noProof/>
                <w:webHidden/>
              </w:rPr>
              <w:tab/>
            </w:r>
            <w:r>
              <w:rPr>
                <w:noProof/>
                <w:webHidden/>
              </w:rPr>
              <w:fldChar w:fldCharType="begin"/>
            </w:r>
            <w:r>
              <w:rPr>
                <w:noProof/>
                <w:webHidden/>
              </w:rPr>
              <w:instrText xml:space="preserve"> PAGEREF _Toc76115952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noProof/>
              <w:szCs w:val="22"/>
              <w:lang w:eastAsia="de-DE"/>
            </w:rPr>
          </w:pPr>
          <w:hyperlink w:anchor="_Toc76115953" w:history="1">
            <w:r>
              <w:rPr>
                <w:rStyle w:val="Hyperlink"/>
                <w:b/>
                <w:noProof/>
              </w:rPr>
              <w:t>1.1.1.</w:t>
            </w:r>
            <w:r>
              <w:rPr>
                <w:rFonts w:asciiTheme="minorHAnsi" w:eastAsiaTheme="minorEastAsia" w:hAnsiTheme="minorHAnsi" w:cstheme="minorBidi"/>
                <w:noProof/>
                <w:szCs w:val="22"/>
                <w:lang w:eastAsia="de-DE"/>
              </w:rPr>
              <w:tab/>
            </w:r>
            <w:r>
              <w:rPr>
                <w:rStyle w:val="Hyperlink"/>
                <w:b/>
                <w:noProof/>
              </w:rPr>
              <w:t>Überschriftenebene 3</w:t>
            </w:r>
            <w:r>
              <w:rPr>
                <w:noProof/>
                <w:webHidden/>
              </w:rPr>
              <w:tab/>
            </w:r>
            <w:r>
              <w:rPr>
                <w:noProof/>
                <w:webHidden/>
              </w:rPr>
              <w:fldChar w:fldCharType="begin"/>
            </w:r>
            <w:r>
              <w:rPr>
                <w:noProof/>
                <w:webHidden/>
              </w:rPr>
              <w:instrText xml:space="preserve"> PAGEREF _Toc76115953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noProof/>
              <w:szCs w:val="22"/>
              <w:lang w:eastAsia="de-DE"/>
            </w:rPr>
          </w:pPr>
          <w:hyperlink w:anchor="_Toc76115954" w:history="1">
            <w:r>
              <w:rPr>
                <w:rStyle w:val="Hyperlink"/>
                <w:b/>
                <w:noProof/>
              </w:rPr>
              <w:t>1.1.2.</w:t>
            </w:r>
            <w:r>
              <w:rPr>
                <w:rFonts w:asciiTheme="minorHAnsi" w:eastAsiaTheme="minorEastAsia" w:hAnsiTheme="minorHAnsi" w:cstheme="minorBidi"/>
                <w:noProof/>
                <w:szCs w:val="22"/>
                <w:lang w:eastAsia="de-DE"/>
              </w:rPr>
              <w:tab/>
            </w:r>
            <w:r>
              <w:rPr>
                <w:rStyle w:val="Hyperlink"/>
                <w:b/>
                <w:noProof/>
              </w:rPr>
              <w:t>Altersgrenze</w:t>
            </w:r>
            <w:r>
              <w:rPr>
                <w:noProof/>
                <w:webHidden/>
              </w:rPr>
              <w:tab/>
            </w:r>
            <w:r>
              <w:rPr>
                <w:noProof/>
                <w:webHidden/>
              </w:rPr>
              <w:fldChar w:fldCharType="begin"/>
            </w:r>
            <w:r>
              <w:rPr>
                <w:noProof/>
                <w:webHidden/>
              </w:rPr>
              <w:instrText xml:space="preserve"> PAGEREF _Toc76115954 \h </w:instrText>
            </w:r>
            <w:r>
              <w:rPr>
                <w:noProof/>
                <w:webHidden/>
              </w:rPr>
            </w:r>
            <w:r>
              <w:rPr>
                <w:noProof/>
                <w:webHidden/>
              </w:rPr>
              <w:fldChar w:fldCharType="separate"/>
            </w:r>
            <w:r>
              <w:rPr>
                <w:noProof/>
                <w:webHidden/>
              </w:rPr>
              <w:t>2</w:t>
            </w:r>
            <w:r>
              <w:rPr>
                <w:noProof/>
                <w:webHidden/>
              </w:rPr>
              <w:fldChar w:fldCharType="end"/>
            </w:r>
          </w:hyperlink>
        </w:p>
        <w:p>
          <w:pPr>
            <w:pStyle w:val="Verzeichnis4"/>
            <w:rPr>
              <w:rFonts w:asciiTheme="minorHAnsi" w:eastAsiaTheme="minorEastAsia" w:hAnsiTheme="minorHAnsi" w:cstheme="minorBidi"/>
              <w:noProof/>
              <w:szCs w:val="22"/>
              <w:lang w:eastAsia="de-DE"/>
            </w:rPr>
          </w:pPr>
          <w:hyperlink w:anchor="_Toc76115955" w:history="1">
            <w:r>
              <w:rPr>
                <w:rStyle w:val="Hyperlink"/>
                <w:b/>
                <w:noProof/>
              </w:rPr>
              <w:t>1.1.2.1.</w:t>
            </w:r>
            <w:r>
              <w:rPr>
                <w:rFonts w:asciiTheme="minorHAnsi" w:eastAsiaTheme="minorEastAsia" w:hAnsiTheme="minorHAnsi" w:cstheme="minorBidi"/>
                <w:noProof/>
                <w:szCs w:val="22"/>
                <w:lang w:eastAsia="de-DE"/>
              </w:rPr>
              <w:tab/>
            </w:r>
            <w:r>
              <w:rPr>
                <w:rStyle w:val="Hyperlink"/>
                <w:b/>
                <w:noProof/>
              </w:rPr>
              <w:t>Überschriftenebene 4</w:t>
            </w:r>
            <w:r>
              <w:rPr>
                <w:noProof/>
                <w:webHidden/>
              </w:rPr>
              <w:tab/>
            </w:r>
            <w:r>
              <w:rPr>
                <w:noProof/>
                <w:webHidden/>
              </w:rPr>
              <w:fldChar w:fldCharType="begin"/>
            </w:r>
            <w:r>
              <w:rPr>
                <w:noProof/>
                <w:webHidden/>
              </w:rPr>
              <w:instrText xml:space="preserve"> PAGEREF _Toc76115955 \h </w:instrText>
            </w:r>
            <w:r>
              <w:rPr>
                <w:noProof/>
                <w:webHidden/>
              </w:rPr>
            </w:r>
            <w:r>
              <w:rPr>
                <w:noProof/>
                <w:webHidden/>
              </w:rPr>
              <w:fldChar w:fldCharType="separate"/>
            </w:r>
            <w:r>
              <w:rPr>
                <w:noProof/>
                <w:webHidden/>
              </w:rPr>
              <w:t>2</w:t>
            </w:r>
            <w:r>
              <w:rPr>
                <w:noProof/>
                <w:webHidden/>
              </w:rPr>
              <w:fldChar w:fldCharType="end"/>
            </w:r>
          </w:hyperlink>
        </w:p>
        <w:p>
          <w:pPr>
            <w:pStyle w:val="Verzeichnis5"/>
            <w:rPr>
              <w:rFonts w:asciiTheme="minorHAnsi" w:eastAsiaTheme="minorEastAsia" w:hAnsiTheme="minorHAnsi" w:cstheme="minorBidi"/>
              <w:noProof/>
              <w:szCs w:val="22"/>
              <w:lang w:eastAsia="de-DE"/>
            </w:rPr>
          </w:pPr>
          <w:hyperlink w:anchor="_Toc76115956" w:history="1">
            <w:r>
              <w:rPr>
                <w:rStyle w:val="Hyperlink"/>
                <w:b/>
                <w:noProof/>
              </w:rPr>
              <w:t>1.1.2.1.1.</w:t>
            </w:r>
            <w:r>
              <w:rPr>
                <w:rFonts w:asciiTheme="minorHAnsi" w:eastAsiaTheme="minorEastAsia" w:hAnsiTheme="minorHAnsi" w:cstheme="minorBidi"/>
                <w:noProof/>
                <w:szCs w:val="22"/>
                <w:lang w:eastAsia="de-DE"/>
              </w:rPr>
              <w:tab/>
            </w:r>
            <w:r>
              <w:rPr>
                <w:rStyle w:val="Hyperlink"/>
                <w:b/>
                <w:noProof/>
              </w:rPr>
              <w:t>Überschriftenebene 5</w:t>
            </w:r>
            <w:r>
              <w:rPr>
                <w:noProof/>
                <w:webHidden/>
              </w:rPr>
              <w:tab/>
            </w:r>
            <w:r>
              <w:rPr>
                <w:noProof/>
                <w:webHidden/>
              </w:rPr>
              <w:fldChar w:fldCharType="begin"/>
            </w:r>
            <w:r>
              <w:rPr>
                <w:noProof/>
                <w:webHidden/>
              </w:rPr>
              <w:instrText xml:space="preserve"> PAGEREF _Toc76115956 \h </w:instrText>
            </w:r>
            <w:r>
              <w:rPr>
                <w:noProof/>
                <w:webHidden/>
              </w:rPr>
            </w:r>
            <w:r>
              <w:rPr>
                <w:noProof/>
                <w:webHidden/>
              </w:rPr>
              <w:fldChar w:fldCharType="separate"/>
            </w:r>
            <w:r>
              <w:rPr>
                <w:noProof/>
                <w:webHidden/>
              </w:rPr>
              <w:t>2</w:t>
            </w:r>
            <w:r>
              <w:rPr>
                <w:noProof/>
                <w:webHidden/>
              </w:rPr>
              <w:fldChar w:fldCharType="end"/>
            </w:r>
          </w:hyperlink>
        </w:p>
        <w:p>
          <w:pPr>
            <w:pStyle w:val="Verzeichnis1"/>
            <w:rPr>
              <w:rFonts w:eastAsiaTheme="minorEastAsia"/>
              <w:b w:val="0"/>
              <w:lang w:eastAsia="de-DE"/>
            </w:rPr>
          </w:pPr>
          <w:hyperlink w:anchor="_Toc76115957" w:history="1">
            <w:r>
              <w:rPr>
                <w:rStyle w:val="Hyperlink"/>
                <w:snapToGrid w:val="0"/>
              </w:rPr>
              <w:t>2.</w:t>
            </w:r>
            <w:r>
              <w:rPr>
                <w:rFonts w:eastAsiaTheme="minorEastAsia"/>
                <w:b w:val="0"/>
                <w:lang w:eastAsia="de-DE"/>
              </w:rPr>
              <w:tab/>
            </w:r>
            <w:r>
              <w:rPr>
                <w:rStyle w:val="Hyperlink"/>
                <w:snapToGrid w:val="0"/>
              </w:rPr>
              <w:t>Neue Überschrift der Ebene 1</w:t>
            </w:r>
            <w:r>
              <w:rPr>
                <w:webHidden/>
              </w:rPr>
              <w:tab/>
            </w:r>
            <w:r>
              <w:rPr>
                <w:webHidden/>
              </w:rPr>
              <w:fldChar w:fldCharType="begin"/>
            </w:r>
            <w:r>
              <w:rPr>
                <w:webHidden/>
              </w:rPr>
              <w:instrText xml:space="preserve"> PAGEREF _Toc76115957 \h </w:instrText>
            </w:r>
            <w:r>
              <w:rPr>
                <w:webHidden/>
              </w:rPr>
            </w:r>
            <w:r>
              <w:rPr>
                <w:webHidden/>
              </w:rPr>
              <w:fldChar w:fldCharType="separate"/>
            </w:r>
            <w:r>
              <w:rPr>
                <w:webHidden/>
              </w:rPr>
              <w:t>2</w:t>
            </w:r>
            <w:r>
              <w:rPr>
                <w:webHidden/>
              </w:rPr>
              <w:fldChar w:fldCharType="end"/>
            </w:r>
          </w:hyperlink>
        </w:p>
        <w:p>
          <w:pPr>
            <w:ind w:left="-284" w:hanging="567"/>
            <w:jc w:val="right"/>
          </w:pPr>
          <w:r>
            <w:rPr>
              <w:rFonts w:asciiTheme="minorHAnsi" w:hAnsiTheme="minorHAnsi" w:cstheme="minorBidi"/>
              <w:b/>
              <w:noProof/>
              <w:szCs w:val="22"/>
            </w:rPr>
            <w:fldChar w:fldCharType="end"/>
          </w:r>
        </w:p>
      </w:sdtContent>
    </w:sdt>
    <w:p>
      <w:pPr>
        <w:ind w:left="-284" w:hanging="567"/>
        <w:rPr>
          <w:rFonts w:asciiTheme="minorHAnsi" w:hAnsiTheme="minorHAnsi" w:cs="Arial"/>
        </w:rPr>
      </w:pPr>
      <w:r>
        <w:rPr>
          <w:rFonts w:asciiTheme="minorHAnsi" w:hAnsiTheme="minorHAnsi" w:cs="Arial"/>
          <w:b/>
        </w:rPr>
        <w:tab/>
      </w:r>
      <w:r>
        <w:rPr>
          <w:rFonts w:asciiTheme="minorHAnsi" w:hAnsiTheme="minorHAnsi" w:cs="Arial"/>
          <w:b/>
        </w:rPr>
        <w:tab/>
      </w:r>
    </w:p>
    <w:p>
      <w:pPr>
        <w:ind w:left="-284" w:hanging="567"/>
        <w:rPr>
          <w:b/>
          <w:snapToGrid w:val="0"/>
          <w:color w:val="000000"/>
          <w:szCs w:val="20"/>
        </w:rPr>
      </w:pPr>
      <w:bookmarkStart w:id="0" w:name="Grundsätzliches"/>
      <w:bookmarkEnd w:id="0"/>
      <w:r>
        <w:rPr>
          <w:b/>
          <w:snapToGrid w:val="0"/>
          <w:color w:val="000000"/>
          <w:szCs w:val="20"/>
        </w:rPr>
        <w:br w:type="page"/>
      </w:r>
    </w:p>
    <w:p>
      <w:bookmarkStart w:id="1" w:name="_Toc76115951"/>
      <w:bookmarkStart w:id="2" w:name="_GoBack"/>
      <w:bookmarkEnd w:id="2"/>
    </w:p>
    <w:p/>
    <w:p/>
    <w:p>
      <w:pPr>
        <w:pStyle w:val="Listenabsatz"/>
        <w:keepNext/>
        <w:numPr>
          <w:ilvl w:val="0"/>
          <w:numId w:val="45"/>
        </w:numPr>
        <w:spacing w:after="120"/>
        <w:outlineLvl w:val="0"/>
        <w:rPr>
          <w:b/>
          <w:snapToGrid w:val="0"/>
          <w:color w:val="000000"/>
          <w:szCs w:val="20"/>
        </w:rPr>
      </w:pPr>
      <w:r>
        <w:rPr>
          <w:b/>
          <w:snapToGrid w:val="0"/>
          <w:color w:val="000000"/>
          <w:szCs w:val="20"/>
        </w:rPr>
        <w:t>Überschriftenebene 1</w:t>
      </w:r>
      <w:bookmarkEnd w:id="1"/>
    </w:p>
    <w:p>
      <w:r>
        <w:t xml:space="preserve">Der Seitenrand links ist 4,1 cm. Für alle Gliederungsebenen gilt: Listeneinzug links -1,6 cm und Texteinzug links 0 cm. Der Fließtexteinzug beträgt links 0 cm. An den Einstellungen dürfen </w:t>
      </w:r>
      <w:r>
        <w:rPr>
          <w:u w:val="single"/>
        </w:rPr>
        <w:t>keine Änderungen</w:t>
      </w:r>
      <w:r>
        <w:t xml:space="preserve"> vorgenommen werden. </w:t>
      </w:r>
    </w:p>
    <w:p/>
    <w:p>
      <w:pPr>
        <w:pStyle w:val="Listenabsatz"/>
        <w:keepNext/>
        <w:numPr>
          <w:ilvl w:val="1"/>
          <w:numId w:val="45"/>
        </w:numPr>
        <w:spacing w:after="120"/>
        <w:contextualSpacing w:val="0"/>
        <w:outlineLvl w:val="1"/>
        <w:rPr>
          <w:rFonts w:cs="Arial"/>
          <w:b/>
          <w:snapToGrid w:val="0"/>
          <w:szCs w:val="20"/>
        </w:rPr>
      </w:pPr>
      <w:bookmarkStart w:id="3" w:name="_Toc76115952"/>
      <w:r>
        <w:rPr>
          <w:rFonts w:cs="Arial"/>
          <w:b/>
          <w:snapToGrid w:val="0"/>
          <w:szCs w:val="20"/>
        </w:rPr>
        <w:t>Überschriftenebene 2</w:t>
      </w:r>
      <w:bookmarkEnd w:id="3"/>
    </w:p>
    <w:p>
      <w:r>
        <w:t>Die Seitenzahlen sind in Calibri 11 Standard rechtsbündig. Die Tabelle in der Kopfzeile hat einen Einzug von links -1,6 cm.</w:t>
      </w:r>
    </w:p>
    <w:p>
      <w:pPr>
        <w:rPr>
          <w:szCs w:val="20"/>
        </w:rPr>
      </w:pPr>
    </w:p>
    <w:p>
      <w:pPr>
        <w:pStyle w:val="Listenabsatz"/>
        <w:numPr>
          <w:ilvl w:val="2"/>
          <w:numId w:val="45"/>
        </w:numPr>
        <w:tabs>
          <w:tab w:val="num" w:pos="5116"/>
        </w:tabs>
        <w:spacing w:after="120"/>
        <w:contextualSpacing w:val="0"/>
        <w:outlineLvl w:val="2"/>
        <w:rPr>
          <w:b/>
          <w:szCs w:val="20"/>
        </w:rPr>
      </w:pPr>
      <w:bookmarkStart w:id="4" w:name="_Toc76115953"/>
      <w:r>
        <w:rPr>
          <w:b/>
          <w:szCs w:val="20"/>
        </w:rPr>
        <w:t>Überschriftenebene 3</w:t>
      </w:r>
      <w:bookmarkEnd w:id="4"/>
    </w:p>
    <w:p>
      <w:pPr>
        <w:pStyle w:val="Listenabsatz"/>
        <w:ind w:left="0"/>
        <w:rPr>
          <w:b/>
          <w:szCs w:val="20"/>
        </w:rPr>
      </w:pPr>
      <w:r>
        <w:rPr>
          <w:szCs w:val="20"/>
        </w:rPr>
        <w:t xml:space="preserve">Arbeitslosengeld II erhalten Personen, die das 15. Lebensjahr vollendet und die Altersgrenze </w:t>
      </w:r>
      <w:r>
        <w:rPr>
          <w:szCs w:val="20"/>
          <w:highlight w:val="yellow"/>
        </w:rPr>
        <w:t>nach § 7a SGB II</w:t>
      </w:r>
      <w:r>
        <w:rPr>
          <w:color w:val="FF0000"/>
          <w:szCs w:val="20"/>
        </w:rPr>
        <w:t xml:space="preserve"> </w:t>
      </w:r>
      <w:r>
        <w:rPr>
          <w:szCs w:val="20"/>
        </w:rPr>
        <w:t xml:space="preserve">noch nicht erreicht haben. Personen, die das 15. Lebensjahr noch nicht vollendet haben, </w:t>
      </w:r>
      <w:r>
        <w:rPr>
          <w:szCs w:val="20"/>
          <w:u w:val="single"/>
        </w:rPr>
        <w:t>erhalten Sozialgeld</w:t>
      </w:r>
      <w:r>
        <w:rPr>
          <w:szCs w:val="20"/>
        </w:rPr>
        <w:t xml:space="preserve"> nach § 19 Abs. 1 S. 2 i.V.m. § 23 SGB II, sofern diese in einer Bedarfsgemeinschaft mit einem erwerbsfähigen Leistungsberechtigten nach § 7 Abs. 1 S. 1 SGB II leben.</w:t>
      </w:r>
      <w:r>
        <w:rPr>
          <w:b/>
          <w:szCs w:val="20"/>
        </w:rPr>
        <w:t xml:space="preserve"> </w:t>
      </w:r>
    </w:p>
    <w:p>
      <w:pPr>
        <w:tabs>
          <w:tab w:val="num" w:pos="709"/>
        </w:tabs>
        <w:rPr>
          <w:szCs w:val="20"/>
        </w:rPr>
      </w:pPr>
    </w:p>
    <w:p>
      <w:pPr>
        <w:pStyle w:val="Listenabsatz"/>
        <w:numPr>
          <w:ilvl w:val="2"/>
          <w:numId w:val="45"/>
        </w:numPr>
        <w:tabs>
          <w:tab w:val="num" w:pos="5116"/>
        </w:tabs>
        <w:spacing w:after="120"/>
        <w:contextualSpacing w:val="0"/>
        <w:outlineLvl w:val="2"/>
        <w:rPr>
          <w:b/>
          <w:szCs w:val="20"/>
        </w:rPr>
      </w:pPr>
      <w:bookmarkStart w:id="5" w:name="_Toc76115954"/>
      <w:r>
        <w:rPr>
          <w:b/>
          <w:szCs w:val="20"/>
        </w:rPr>
        <w:t>Altersgrenze</w:t>
      </w:r>
      <w:bookmarkEnd w:id="5"/>
    </w:p>
    <w:p>
      <w:pPr>
        <w:pStyle w:val="Listenabsatz"/>
        <w:ind w:left="0"/>
        <w:rPr>
          <w:b/>
          <w:szCs w:val="20"/>
        </w:rPr>
      </w:pPr>
      <w:r>
        <w:rPr>
          <w:szCs w:val="20"/>
        </w:rPr>
        <w:t>Bis zum 31.03.2011 galt: Der Arbeitslosengeld-II-Bezug endet mit dem Tag vor dem Erreichen der Altersgrenze</w:t>
      </w:r>
      <w:r>
        <w:rPr>
          <w:color w:val="FF0000"/>
          <w:szCs w:val="20"/>
        </w:rPr>
        <w:t xml:space="preserve"> </w:t>
      </w:r>
      <w:r>
        <w:rPr>
          <w:szCs w:val="20"/>
        </w:rPr>
        <w:t xml:space="preserve">des § 7a SGB II. </w:t>
      </w:r>
    </w:p>
    <w:p>
      <w:pPr>
        <w:rPr>
          <w:color w:val="000000"/>
          <w:szCs w:val="20"/>
        </w:rPr>
      </w:pPr>
    </w:p>
    <w:p>
      <w:pPr>
        <w:rPr>
          <w:color w:val="000000"/>
          <w:szCs w:val="20"/>
        </w:rPr>
      </w:pPr>
      <w:bookmarkStart w:id="6" w:name="_Altersbeschränkung"/>
      <w:bookmarkEnd w:id="6"/>
      <w:r>
        <w:rPr>
          <w:color w:val="0070C0"/>
          <w:szCs w:val="20"/>
        </w:rPr>
        <w:t>Beispiel:</w:t>
      </w:r>
      <w:r>
        <w:rPr>
          <w:color w:val="000000"/>
          <w:szCs w:val="20"/>
        </w:rPr>
        <w:t xml:space="preserve"> Wird eine Unterkunft von mehreren Personen gemeinschaftlich genutzt, sind die Kosten regelmäßig nach Kopfzahl aufzuteilen. Dies gilt insbesondere dann, wenn…</w:t>
      </w:r>
    </w:p>
    <w:p>
      <w:pPr>
        <w:rPr>
          <w:color w:val="000000"/>
          <w:szCs w:val="20"/>
        </w:rPr>
      </w:pPr>
    </w:p>
    <w:p>
      <w:pPr>
        <w:rPr>
          <w:color w:val="000000"/>
          <w:szCs w:val="20"/>
        </w:rPr>
      </w:pPr>
      <w:r>
        <w:rPr>
          <w:color w:val="00B050"/>
          <w:szCs w:val="20"/>
        </w:rPr>
        <w:t>Definition:</w:t>
      </w:r>
      <w:r>
        <w:rPr>
          <w:color w:val="000000"/>
          <w:szCs w:val="20"/>
        </w:rPr>
        <w:t xml:space="preserve"> Angemessenheit bedeutet…</w:t>
      </w:r>
    </w:p>
    <w:p>
      <w:pPr>
        <w:rPr>
          <w:color w:val="000000"/>
          <w:szCs w:val="20"/>
        </w:rPr>
      </w:pPr>
    </w:p>
    <w:p>
      <w:pPr>
        <w:rPr>
          <w:color w:val="000000"/>
          <w:szCs w:val="20"/>
        </w:rPr>
      </w:pPr>
      <w:r>
        <w:rPr>
          <w:color w:val="FF0000"/>
          <w:szCs w:val="20"/>
        </w:rPr>
        <w:t>Ausnahme:</w:t>
      </w:r>
      <w:r>
        <w:rPr>
          <w:color w:val="000000"/>
          <w:szCs w:val="20"/>
        </w:rPr>
        <w:t xml:space="preserve"> Ausgenommen ist…</w:t>
      </w:r>
    </w:p>
    <w:p>
      <w:pPr>
        <w:pStyle w:val="Listenabsatz"/>
        <w:ind w:left="0"/>
        <w:rPr>
          <w:rFonts w:asciiTheme="minorHAnsi" w:hAnsiTheme="minorHAnsi"/>
          <w:color w:val="FF0000"/>
        </w:rPr>
      </w:pPr>
    </w:p>
    <w:p>
      <w:pPr>
        <w:pStyle w:val="Listenabsatz"/>
        <w:numPr>
          <w:ilvl w:val="3"/>
          <w:numId w:val="45"/>
        </w:numPr>
        <w:spacing w:after="120"/>
        <w:jc w:val="left"/>
        <w:outlineLvl w:val="3"/>
        <w:rPr>
          <w:b/>
          <w:szCs w:val="20"/>
        </w:rPr>
      </w:pPr>
      <w:bookmarkStart w:id="7" w:name="_Toc76115955"/>
      <w:r>
        <w:rPr>
          <w:b/>
          <w:szCs w:val="20"/>
        </w:rPr>
        <w:t>Überschriftenebene 4</w:t>
      </w:r>
      <w:bookmarkEnd w:id="7"/>
    </w:p>
    <w:p>
      <w:pPr>
        <w:rPr>
          <w:b/>
        </w:rPr>
      </w:pPr>
      <w:r>
        <w:t>Die Höchstgrenzen der Wohnfläche richten sich nach der Ziff. 11.2 der Richtlinien über die Soziale Wohnraumförderung in Niedersachsen (RdErl. des MS vom 27. 6. 2003).</w:t>
      </w:r>
      <w:r>
        <w:tab/>
      </w:r>
      <w:r>
        <w:br/>
      </w:r>
    </w:p>
    <w:p>
      <w:pPr>
        <w:pStyle w:val="Listenabsatz"/>
        <w:numPr>
          <w:ilvl w:val="4"/>
          <w:numId w:val="45"/>
        </w:numPr>
        <w:spacing w:after="120"/>
        <w:contextualSpacing w:val="0"/>
        <w:jc w:val="left"/>
        <w:outlineLvl w:val="4"/>
        <w:rPr>
          <w:b/>
          <w:szCs w:val="20"/>
        </w:rPr>
      </w:pPr>
      <w:bookmarkStart w:id="8" w:name="_Toc76115956"/>
      <w:r>
        <w:rPr>
          <w:b/>
          <w:szCs w:val="20"/>
        </w:rPr>
        <w:t>Überschriftenebene 5</w:t>
      </w:r>
      <w:bookmarkEnd w:id="8"/>
      <w:r>
        <w:rPr>
          <w:b/>
          <w:szCs w:val="20"/>
        </w:rPr>
        <w:tab/>
      </w:r>
    </w:p>
    <w:p>
      <w:pPr>
        <w:rPr>
          <w:b/>
        </w:rPr>
      </w:pPr>
      <w:r>
        <w:t>Für jeden weiteren Bewohner werden 10 m² mehr angesetzt, wie es unter 1.1.1 bereits dargestellt ist.</w:t>
      </w:r>
      <w:r>
        <w:tab/>
      </w:r>
      <w:r>
        <w:br/>
      </w:r>
    </w:p>
    <w:p>
      <w:pPr>
        <w:pStyle w:val="Listenabsatz"/>
        <w:keepNext/>
        <w:numPr>
          <w:ilvl w:val="0"/>
          <w:numId w:val="45"/>
        </w:numPr>
        <w:spacing w:after="120"/>
        <w:contextualSpacing w:val="0"/>
        <w:outlineLvl w:val="0"/>
        <w:rPr>
          <w:b/>
          <w:snapToGrid w:val="0"/>
          <w:color w:val="000000"/>
          <w:szCs w:val="20"/>
        </w:rPr>
      </w:pPr>
      <w:bookmarkStart w:id="9" w:name="_Toc76115957"/>
      <w:r>
        <w:rPr>
          <w:b/>
          <w:snapToGrid w:val="0"/>
          <w:color w:val="000000"/>
          <w:szCs w:val="20"/>
        </w:rPr>
        <w:t>Neue Überschrift der Ebene 1</w:t>
      </w:r>
      <w:bookmarkEnd w:id="9"/>
    </w:p>
    <w:p>
      <w:pPr>
        <w:rPr>
          <w:color w:val="000000"/>
        </w:rPr>
      </w:pPr>
      <w:r>
        <w:rPr>
          <w:color w:val="000000"/>
        </w:rPr>
        <w:t xml:space="preserve">Ist die Wohnfläche unangemessen groß, die Miethöhe hingegen angemessen, handelt es sich um eine angemessene Unterkunft i.S.v. § 22 SGB II. </w:t>
      </w:r>
    </w:p>
    <w:p>
      <w:pPr>
        <w:rPr>
          <w:color w:val="000000"/>
        </w:rPr>
      </w:pPr>
    </w:p>
    <w:p>
      <w:pPr>
        <w:rPr>
          <w:rFonts w:asciiTheme="minorHAnsi" w:hAnsiTheme="minorHAnsi"/>
        </w:rPr>
      </w:pPr>
    </w:p>
    <w:p>
      <w:pPr>
        <w:pStyle w:val="Listenabsatz"/>
        <w:spacing w:after="240"/>
        <w:ind w:left="0"/>
        <w:rPr>
          <w:rFonts w:asciiTheme="minorHAnsi" w:hAnsiTheme="minorHAnsi"/>
        </w:rPr>
      </w:pPr>
      <w:r>
        <w:rPr>
          <w:rFonts w:asciiTheme="minorHAnsi" w:hAnsiTheme="minorHAnsi"/>
        </w:rPr>
        <w:t xml:space="preserve">Freigegeben am/durch: </w:t>
      </w:r>
    </w:p>
    <w:p>
      <w:pPr>
        <w:pStyle w:val="Listenabsatz"/>
        <w:spacing w:after="240"/>
        <w:ind w:left="0"/>
        <w:rPr>
          <w:rFonts w:asciiTheme="minorHAnsi" w:hAnsiTheme="minorHAnsi"/>
        </w:rPr>
      </w:pPr>
      <w:r>
        <w:rPr>
          <w:rFonts w:asciiTheme="minorHAnsi" w:hAnsiTheme="minorHAnsi"/>
        </w:rPr>
        <w:t>xx.xx.2023</w:t>
      </w:r>
    </w:p>
    <w:p>
      <w:pPr>
        <w:pStyle w:val="Listenabsatz"/>
        <w:spacing w:after="240"/>
        <w:ind w:left="0"/>
        <w:rPr>
          <w:rFonts w:asciiTheme="minorHAnsi" w:hAnsiTheme="minorHAnsi"/>
        </w:rPr>
      </w:pPr>
      <w:r>
        <w:rPr>
          <w:rFonts w:asciiTheme="minorHAnsi" w:hAnsiTheme="minorHAnsi"/>
        </w:rPr>
        <w:tab/>
      </w:r>
      <w:r>
        <w:rPr>
          <w:rFonts w:asciiTheme="minorHAnsi" w:hAnsiTheme="minorHAnsi"/>
        </w:rPr>
        <w:tab/>
      </w:r>
    </w:p>
    <w:p>
      <w:pPr>
        <w:pStyle w:val="Listenabsatz"/>
        <w:spacing w:after="240"/>
        <w:ind w:left="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gez. Freigabeberechtigte(r)</w:t>
      </w:r>
    </w:p>
    <w:sectPr>
      <w:headerReference w:type="default" r:id="rId10"/>
      <w:footerReference w:type="default" r:id="rId11"/>
      <w:pgSz w:w="11906" w:h="16838" w:code="9"/>
      <w:pgMar w:top="1701" w:right="1134" w:bottom="851" w:left="23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864713"/>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1</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rFonts w:asciiTheme="minorHAnsi" w:hAnsiTheme="minorHAnsi"/>
        </w:rPr>
        <w:t>Die in der Organisatorischen Regelung gemachten Angaben beziehen sich sowohl auf die männliche, weibliche als auch auf die unbestimmte Form. Zur besseren Lesbarkeit wird im Folgenden nur die männliche Form verwendet.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9" w:type="dxa"/>
      <w:tblInd w:w="-907" w:type="dxa"/>
      <w:tblCellMar>
        <w:left w:w="70" w:type="dxa"/>
        <w:right w:w="70" w:type="dxa"/>
      </w:tblCellMar>
      <w:tblLook w:val="0000" w:firstRow="0" w:lastRow="0" w:firstColumn="0" w:lastColumn="0" w:noHBand="0" w:noVBand="0"/>
    </w:tblPr>
    <w:tblGrid>
      <w:gridCol w:w="7809"/>
      <w:gridCol w:w="937"/>
      <w:gridCol w:w="993"/>
    </w:tblGrid>
    <w:tr>
      <w:trPr>
        <w:trHeight w:val="306"/>
      </w:trPr>
      <w:tc>
        <w:tcPr>
          <w:tcW w:w="7858" w:type="dxa"/>
        </w:tcPr>
        <w:p>
          <w:pPr>
            <w:rPr>
              <w:rFonts w:asciiTheme="minorHAnsi" w:hAnsiTheme="minorHAnsi" w:cs="Arial"/>
              <w:sz w:val="20"/>
              <w:szCs w:val="18"/>
            </w:rPr>
          </w:pPr>
          <w:r>
            <w:rPr>
              <w:rFonts w:asciiTheme="minorHAnsi" w:hAnsiTheme="minorHAnsi" w:cs="Arial"/>
              <w:sz w:val="20"/>
              <w:szCs w:val="18"/>
            </w:rPr>
            <w:t>Organisatorische Regelung</w:t>
          </w:r>
        </w:p>
      </w:tc>
      <w:tc>
        <w:tcPr>
          <w:tcW w:w="940" w:type="dxa"/>
        </w:tcPr>
        <w:p>
          <w:pPr>
            <w:rPr>
              <w:rFonts w:asciiTheme="minorHAnsi" w:hAnsiTheme="minorHAnsi" w:cs="Arial"/>
              <w:sz w:val="20"/>
              <w:szCs w:val="18"/>
            </w:rPr>
          </w:pPr>
          <w:r>
            <w:rPr>
              <w:rFonts w:asciiTheme="minorHAnsi" w:hAnsiTheme="minorHAnsi" w:cs="Arial"/>
              <w:sz w:val="20"/>
              <w:szCs w:val="18"/>
            </w:rPr>
            <w:t>gültig ab:</w:t>
          </w:r>
        </w:p>
      </w:tc>
      <w:tc>
        <w:tcPr>
          <w:tcW w:w="941" w:type="dxa"/>
        </w:tcPr>
        <w:p>
          <w:pPr>
            <w:jc w:val="right"/>
            <w:rPr>
              <w:rFonts w:asciiTheme="minorHAnsi" w:hAnsiTheme="minorHAnsi" w:cs="Arial"/>
              <w:sz w:val="20"/>
              <w:szCs w:val="18"/>
            </w:rPr>
          </w:pPr>
          <w:r>
            <w:rPr>
              <w:rFonts w:asciiTheme="minorHAnsi" w:hAnsiTheme="minorHAnsi" w:cs="Arial"/>
              <w:sz w:val="20"/>
              <w:szCs w:val="18"/>
            </w:rPr>
            <w:t>xx.xx.2023</w:t>
          </w:r>
        </w:p>
      </w:tc>
    </w:tr>
    <w:tr>
      <w:trPr>
        <w:trHeight w:val="306"/>
      </w:trPr>
      <w:tc>
        <w:tcPr>
          <w:tcW w:w="7858" w:type="dxa"/>
          <w:tcBorders>
            <w:bottom w:val="single" w:sz="4" w:space="0" w:color="auto"/>
          </w:tcBorders>
        </w:tcPr>
        <w:p>
          <w:pPr>
            <w:tabs>
              <w:tab w:val="center" w:pos="1965"/>
            </w:tabs>
            <w:rPr>
              <w:rFonts w:asciiTheme="minorHAnsi" w:hAnsiTheme="minorHAnsi" w:cs="Arial"/>
              <w:sz w:val="20"/>
              <w:szCs w:val="18"/>
            </w:rPr>
          </w:pPr>
          <w:r>
            <w:rPr>
              <w:rFonts w:asciiTheme="minorHAnsi" w:hAnsiTheme="minorHAnsi" w:cs="Arial"/>
              <w:sz w:val="20"/>
              <w:szCs w:val="18"/>
            </w:rPr>
            <w:t>Jobcenter-Intranet (JCI)</w:t>
          </w:r>
        </w:p>
      </w:tc>
      <w:tc>
        <w:tcPr>
          <w:tcW w:w="940" w:type="dxa"/>
          <w:tcBorders>
            <w:bottom w:val="single" w:sz="4" w:space="0" w:color="auto"/>
          </w:tcBorders>
        </w:tcPr>
        <w:p>
          <w:pPr>
            <w:rPr>
              <w:rFonts w:asciiTheme="minorHAnsi" w:hAnsiTheme="minorHAnsi" w:cs="Arial"/>
              <w:color w:val="C0C0C0"/>
              <w:sz w:val="20"/>
              <w:szCs w:val="18"/>
            </w:rPr>
          </w:pPr>
          <w:r>
            <w:rPr>
              <w:rFonts w:asciiTheme="minorHAnsi" w:hAnsiTheme="minorHAnsi" w:cs="Arial"/>
              <w:color w:val="C0C0C0"/>
              <w:sz w:val="20"/>
              <w:szCs w:val="18"/>
            </w:rPr>
            <w:t xml:space="preserve">gültig bis: </w:t>
          </w:r>
        </w:p>
      </w:tc>
      <w:tc>
        <w:tcPr>
          <w:tcW w:w="941" w:type="dxa"/>
          <w:tcBorders>
            <w:bottom w:val="single" w:sz="4" w:space="0" w:color="auto"/>
          </w:tcBorders>
        </w:tcPr>
        <w:p>
          <w:pPr>
            <w:jc w:val="right"/>
            <w:rPr>
              <w:rFonts w:asciiTheme="minorHAnsi" w:hAnsiTheme="minorHAnsi" w:cs="Arial"/>
              <w:sz w:val="20"/>
              <w:szCs w:val="18"/>
            </w:rPr>
          </w:pPr>
        </w:p>
      </w:tc>
    </w:tr>
  </w:tbl>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823"/>
    <w:multiLevelType w:val="hybridMultilevel"/>
    <w:tmpl w:val="B274B07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021A32"/>
    <w:multiLevelType w:val="hybridMultilevel"/>
    <w:tmpl w:val="57BEAFE6"/>
    <w:lvl w:ilvl="0" w:tplc="B440AD7A">
      <w:start w:val="5"/>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0E28549B"/>
    <w:multiLevelType w:val="hybridMultilevel"/>
    <w:tmpl w:val="95D23D96"/>
    <w:lvl w:ilvl="0" w:tplc="EBFA9A64">
      <w:start w:val="2"/>
      <w:numFmt w:val="bullet"/>
      <w:lvlText w:val=""/>
      <w:lvlJc w:val="left"/>
      <w:pPr>
        <w:ind w:left="36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A31DE6"/>
    <w:multiLevelType w:val="hybridMultilevel"/>
    <w:tmpl w:val="A12E13FC"/>
    <w:lvl w:ilvl="0" w:tplc="0407000F">
      <w:start w:val="1"/>
      <w:numFmt w:val="decimal"/>
      <w:lvlText w:val="%1."/>
      <w:lvlJc w:val="left"/>
      <w:pPr>
        <w:ind w:left="360" w:hanging="360"/>
      </w:pPr>
      <w:rPr>
        <w:rFonts w:hint="default"/>
        <w:b w:val="0"/>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0955EE1"/>
    <w:multiLevelType w:val="hybridMultilevel"/>
    <w:tmpl w:val="6A3AC4FA"/>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0A6768D"/>
    <w:multiLevelType w:val="hybridMultilevel"/>
    <w:tmpl w:val="F1D4FB5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3D16EA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A8079F"/>
    <w:multiLevelType w:val="hybridMultilevel"/>
    <w:tmpl w:val="FABCB0CA"/>
    <w:lvl w:ilvl="0" w:tplc="1C08BABA">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8E70AA7"/>
    <w:multiLevelType w:val="hybridMultilevel"/>
    <w:tmpl w:val="37AC2A74"/>
    <w:lvl w:ilvl="0" w:tplc="3C1A10C2">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B0A7EF0"/>
    <w:multiLevelType w:val="hybridMultilevel"/>
    <w:tmpl w:val="2C760BCC"/>
    <w:lvl w:ilvl="0" w:tplc="5ADAC67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63594"/>
    <w:multiLevelType w:val="multilevel"/>
    <w:tmpl w:val="CE52AE12"/>
    <w:lvl w:ilvl="0">
      <w:start w:val="1"/>
      <w:numFmt w:val="decimal"/>
      <w:lvlText w:val="%1."/>
      <w:lvlJc w:val="left"/>
      <w:pPr>
        <w:ind w:left="0" w:hanging="907"/>
      </w:pPr>
      <w:rPr>
        <w:rFonts w:hint="default"/>
      </w:rPr>
    </w:lvl>
    <w:lvl w:ilvl="1">
      <w:start w:val="1"/>
      <w:numFmt w:val="decimal"/>
      <w:isLgl/>
      <w:lvlText w:val="%1.%2."/>
      <w:lvlJc w:val="left"/>
      <w:pPr>
        <w:tabs>
          <w:tab w:val="num" w:pos="907"/>
        </w:tabs>
        <w:ind w:left="0" w:hanging="907"/>
      </w:pPr>
      <w:rPr>
        <w:rFonts w:hint="default"/>
      </w:rPr>
    </w:lvl>
    <w:lvl w:ilvl="2">
      <w:start w:val="1"/>
      <w:numFmt w:val="decimal"/>
      <w:isLgl/>
      <w:lvlText w:val="%1.%2.%3."/>
      <w:lvlJc w:val="left"/>
      <w:pPr>
        <w:ind w:left="0" w:hanging="907"/>
      </w:pPr>
      <w:rPr>
        <w:rFonts w:hint="default"/>
      </w:rPr>
    </w:lvl>
    <w:lvl w:ilvl="3">
      <w:start w:val="1"/>
      <w:numFmt w:val="decimal"/>
      <w:isLgl/>
      <w:lvlText w:val="%1.%2.%3.%4."/>
      <w:lvlJc w:val="left"/>
      <w:pPr>
        <w:ind w:left="0" w:hanging="907"/>
      </w:pPr>
      <w:rPr>
        <w:rFonts w:hint="default"/>
      </w:rPr>
    </w:lvl>
    <w:lvl w:ilvl="4">
      <w:start w:val="1"/>
      <w:numFmt w:val="decimal"/>
      <w:isLgl/>
      <w:lvlText w:val="%1.%2.%3.%4.%5."/>
      <w:lvlJc w:val="left"/>
      <w:pPr>
        <w:ind w:left="0" w:hanging="907"/>
      </w:pPr>
      <w:rPr>
        <w:rFonts w:hint="default"/>
      </w:rPr>
    </w:lvl>
    <w:lvl w:ilvl="5">
      <w:start w:val="1"/>
      <w:numFmt w:val="decimal"/>
      <w:isLgl/>
      <w:lvlText w:val="%1.%2.%3.%4.%5.%6."/>
      <w:lvlJc w:val="left"/>
      <w:pPr>
        <w:ind w:left="0" w:hanging="907"/>
      </w:pPr>
      <w:rPr>
        <w:rFonts w:hint="default"/>
      </w:rPr>
    </w:lvl>
    <w:lvl w:ilvl="6">
      <w:start w:val="1"/>
      <w:numFmt w:val="decimal"/>
      <w:isLgl/>
      <w:lvlText w:val="%1.%2.%3.%4.%5.%6.%7."/>
      <w:lvlJc w:val="left"/>
      <w:pPr>
        <w:ind w:left="0" w:hanging="907"/>
      </w:pPr>
      <w:rPr>
        <w:rFonts w:hint="default"/>
      </w:rPr>
    </w:lvl>
    <w:lvl w:ilvl="7">
      <w:start w:val="1"/>
      <w:numFmt w:val="decimal"/>
      <w:isLgl/>
      <w:lvlText w:val="%1.%2.%3.%4.%5.%6.%7.%8."/>
      <w:lvlJc w:val="left"/>
      <w:pPr>
        <w:ind w:left="0" w:hanging="907"/>
      </w:pPr>
      <w:rPr>
        <w:rFonts w:hint="default"/>
      </w:rPr>
    </w:lvl>
    <w:lvl w:ilvl="8">
      <w:start w:val="1"/>
      <w:numFmt w:val="decimal"/>
      <w:isLgl/>
      <w:lvlText w:val="%1.%2.%3.%4.%5.%6.%7.%8.%9."/>
      <w:lvlJc w:val="left"/>
      <w:pPr>
        <w:ind w:left="0" w:hanging="907"/>
      </w:pPr>
      <w:rPr>
        <w:rFonts w:hint="default"/>
      </w:rPr>
    </w:lvl>
  </w:abstractNum>
  <w:abstractNum w:abstractNumId="11" w15:restartNumberingAfterBreak="0">
    <w:nsid w:val="212E0B49"/>
    <w:multiLevelType w:val="hybridMultilevel"/>
    <w:tmpl w:val="2054C1CE"/>
    <w:lvl w:ilvl="0" w:tplc="FB30E7FC">
      <w:start w:val="3"/>
      <w:numFmt w:val="decim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FD0C3F"/>
    <w:multiLevelType w:val="hybridMultilevel"/>
    <w:tmpl w:val="0966DFBA"/>
    <w:lvl w:ilvl="0" w:tplc="319444A0">
      <w:start w:val="20"/>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522C34"/>
    <w:multiLevelType w:val="hybridMultilevel"/>
    <w:tmpl w:val="17F44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F80B77"/>
    <w:multiLevelType w:val="hybridMultilevel"/>
    <w:tmpl w:val="6DCA69A6"/>
    <w:lvl w:ilvl="0" w:tplc="C76043B0">
      <w:start w:val="1"/>
      <w:numFmt w:val="bullet"/>
      <w:lvlText w:val=""/>
      <w:lvlJc w:val="left"/>
      <w:pPr>
        <w:tabs>
          <w:tab w:val="num" w:pos="786"/>
        </w:tabs>
        <w:ind w:left="786" w:hanging="360"/>
      </w:pPr>
      <w:rPr>
        <w:rFonts w:ascii="Symbol" w:hAnsi="Symbol" w:hint="default"/>
        <w:sz w:val="16"/>
      </w:rPr>
    </w:lvl>
    <w:lvl w:ilvl="1" w:tplc="A87E9A18">
      <w:start w:val="1"/>
      <w:numFmt w:val="bullet"/>
      <w:lvlText w:val="-"/>
      <w:lvlJc w:val="left"/>
      <w:pPr>
        <w:tabs>
          <w:tab w:val="num" w:pos="1440"/>
        </w:tabs>
        <w:ind w:left="1420" w:hanging="340"/>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F03F51"/>
    <w:multiLevelType w:val="hybridMultilevel"/>
    <w:tmpl w:val="769489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F96B10"/>
    <w:multiLevelType w:val="hybridMultilevel"/>
    <w:tmpl w:val="1FAC53CA"/>
    <w:lvl w:ilvl="0" w:tplc="E6D05EB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CA624C0"/>
    <w:multiLevelType w:val="hybridMultilevel"/>
    <w:tmpl w:val="144A9E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E261CDB"/>
    <w:multiLevelType w:val="hybridMultilevel"/>
    <w:tmpl w:val="8534C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2D283C"/>
    <w:multiLevelType w:val="hybridMultilevel"/>
    <w:tmpl w:val="5EB00DF8"/>
    <w:lvl w:ilvl="0" w:tplc="8ADA61D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304C7E5C"/>
    <w:multiLevelType w:val="multilevel"/>
    <w:tmpl w:val="5ECA0742"/>
    <w:lvl w:ilvl="0">
      <w:start w:val="1"/>
      <w:numFmt w:val="decimal"/>
      <w:lvlText w:val="%1."/>
      <w:lvlJc w:val="left"/>
      <w:pPr>
        <w:ind w:left="360" w:hanging="360"/>
      </w:pPr>
      <w:rPr>
        <w:rFonts w:hint="default"/>
        <w:b w:val="0"/>
      </w:rPr>
    </w:lvl>
    <w:lvl w:ilvl="1">
      <w:start w:val="4"/>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E4472CB"/>
    <w:multiLevelType w:val="multilevel"/>
    <w:tmpl w:val="417A5D9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840396"/>
    <w:multiLevelType w:val="hybridMultilevel"/>
    <w:tmpl w:val="9A4016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EBA252A"/>
    <w:multiLevelType w:val="multilevel"/>
    <w:tmpl w:val="CB1EB9D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E945A7"/>
    <w:multiLevelType w:val="hybridMultilevel"/>
    <w:tmpl w:val="3A44B7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21321A6"/>
    <w:multiLevelType w:val="hybridMultilevel"/>
    <w:tmpl w:val="13C033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6F56CD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BA1E4B"/>
    <w:multiLevelType w:val="hybridMultilevel"/>
    <w:tmpl w:val="9216E9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E2655BA"/>
    <w:multiLevelType w:val="hybridMultilevel"/>
    <w:tmpl w:val="2D125D3A"/>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23F09A8"/>
    <w:multiLevelType w:val="hybridMultilevel"/>
    <w:tmpl w:val="683C211C"/>
    <w:lvl w:ilvl="0" w:tplc="2D9E622A">
      <w:start w:val="3"/>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27934CC"/>
    <w:multiLevelType w:val="hybridMultilevel"/>
    <w:tmpl w:val="38383986"/>
    <w:lvl w:ilvl="0" w:tplc="4E243ADA">
      <w:start w:val="4"/>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5B37E6"/>
    <w:multiLevelType w:val="hybridMultilevel"/>
    <w:tmpl w:val="5E148396"/>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B2C6FE9"/>
    <w:multiLevelType w:val="hybridMultilevel"/>
    <w:tmpl w:val="559E04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DBD6BF3"/>
    <w:multiLevelType w:val="hybridMultilevel"/>
    <w:tmpl w:val="1E200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E11A7B"/>
    <w:multiLevelType w:val="multilevel"/>
    <w:tmpl w:val="535420A2"/>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5D97AED"/>
    <w:multiLevelType w:val="hybridMultilevel"/>
    <w:tmpl w:val="377E6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0E31168"/>
    <w:multiLevelType w:val="hybridMultilevel"/>
    <w:tmpl w:val="B6DEFA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1D244F7"/>
    <w:multiLevelType w:val="hybridMultilevel"/>
    <w:tmpl w:val="AA7AB3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37943D8"/>
    <w:multiLevelType w:val="multilevel"/>
    <w:tmpl w:val="AB3C9DF6"/>
    <w:lvl w:ilvl="0">
      <w:start w:val="1"/>
      <w:numFmt w:val="decimal"/>
      <w:lvlText w:val="%1."/>
      <w:lvlJc w:val="left"/>
      <w:pPr>
        <w:tabs>
          <w:tab w:val="num" w:pos="360"/>
        </w:tabs>
        <w:ind w:left="0" w:hanging="907"/>
      </w:pPr>
      <w:rPr>
        <w:rFonts w:hint="default"/>
        <w:color w:val="auto"/>
        <w:u w:val="none"/>
      </w:rPr>
    </w:lvl>
    <w:lvl w:ilvl="1">
      <w:start w:val="1"/>
      <w:numFmt w:val="decimal"/>
      <w:lvlText w:val="%1.%2."/>
      <w:lvlJc w:val="left"/>
      <w:pPr>
        <w:tabs>
          <w:tab w:val="num" w:pos="454"/>
        </w:tabs>
        <w:ind w:left="0" w:hanging="907"/>
      </w:pPr>
      <w:rPr>
        <w:rFonts w:hint="default"/>
      </w:rPr>
    </w:lvl>
    <w:lvl w:ilvl="2">
      <w:start w:val="1"/>
      <w:numFmt w:val="decimal"/>
      <w:lvlText w:val="%1.%2.%3."/>
      <w:lvlJc w:val="left"/>
      <w:pPr>
        <w:tabs>
          <w:tab w:val="num" w:pos="1146"/>
        </w:tabs>
        <w:ind w:left="0" w:hanging="907"/>
      </w:pPr>
      <w:rPr>
        <w:rFonts w:hint="default"/>
      </w:rPr>
    </w:lvl>
    <w:lvl w:ilvl="3">
      <w:start w:val="1"/>
      <w:numFmt w:val="decimal"/>
      <w:lvlText w:val="%1.%2.%3.%4."/>
      <w:lvlJc w:val="left"/>
      <w:pPr>
        <w:tabs>
          <w:tab w:val="num" w:pos="2160"/>
        </w:tabs>
        <w:ind w:left="0" w:hanging="907"/>
      </w:pPr>
      <w:rPr>
        <w:rFonts w:hint="default"/>
      </w:rPr>
    </w:lvl>
    <w:lvl w:ilvl="4">
      <w:start w:val="1"/>
      <w:numFmt w:val="decimal"/>
      <w:lvlText w:val="%1.%2.%3.%4.%5."/>
      <w:lvlJc w:val="left"/>
      <w:pPr>
        <w:tabs>
          <w:tab w:val="num" w:pos="2520"/>
        </w:tabs>
        <w:ind w:left="0" w:hanging="90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37D4482"/>
    <w:multiLevelType w:val="hybridMultilevel"/>
    <w:tmpl w:val="AB1AAE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8DA1418"/>
    <w:multiLevelType w:val="hybridMultilevel"/>
    <w:tmpl w:val="E4EE03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B3610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651221"/>
    <w:multiLevelType w:val="hybridMultilevel"/>
    <w:tmpl w:val="C79C33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CB9236F"/>
    <w:multiLevelType w:val="multilevel"/>
    <w:tmpl w:val="00286DB2"/>
    <w:lvl w:ilvl="0">
      <w:start w:val="1"/>
      <w:numFmt w:val="decimal"/>
      <w:lvlText w:val="%1."/>
      <w:lvlJc w:val="left"/>
      <w:pPr>
        <w:ind w:left="0" w:hanging="907"/>
      </w:pPr>
      <w:rPr>
        <w:rFonts w:hint="default"/>
      </w:rPr>
    </w:lvl>
    <w:lvl w:ilvl="1">
      <w:start w:val="1"/>
      <w:numFmt w:val="decimal"/>
      <w:isLgl/>
      <w:lvlText w:val="%1.%2."/>
      <w:lvlJc w:val="left"/>
      <w:pPr>
        <w:ind w:left="0" w:hanging="907"/>
      </w:pPr>
      <w:rPr>
        <w:rFonts w:hint="default"/>
      </w:rPr>
    </w:lvl>
    <w:lvl w:ilvl="2">
      <w:start w:val="1"/>
      <w:numFmt w:val="decimal"/>
      <w:isLgl/>
      <w:lvlText w:val="%1.%2.%3."/>
      <w:lvlJc w:val="left"/>
      <w:pPr>
        <w:ind w:left="0" w:hanging="907"/>
      </w:pPr>
      <w:rPr>
        <w:rFonts w:hint="default"/>
      </w:rPr>
    </w:lvl>
    <w:lvl w:ilvl="3">
      <w:start w:val="1"/>
      <w:numFmt w:val="decimal"/>
      <w:isLgl/>
      <w:lvlText w:val="%1.%2.%3.%4."/>
      <w:lvlJc w:val="left"/>
      <w:pPr>
        <w:ind w:left="0" w:hanging="907"/>
      </w:pPr>
      <w:rPr>
        <w:rFonts w:hint="default"/>
      </w:rPr>
    </w:lvl>
    <w:lvl w:ilvl="4">
      <w:start w:val="1"/>
      <w:numFmt w:val="decimal"/>
      <w:isLgl/>
      <w:lvlText w:val="%1.%2.%3.%4.%5."/>
      <w:lvlJc w:val="left"/>
      <w:pPr>
        <w:ind w:left="0" w:hanging="907"/>
      </w:pPr>
      <w:rPr>
        <w:rFonts w:hint="default"/>
      </w:rPr>
    </w:lvl>
    <w:lvl w:ilvl="5">
      <w:start w:val="1"/>
      <w:numFmt w:val="decimal"/>
      <w:isLgl/>
      <w:lvlText w:val="%1.%2.%3.%4.%5.%6."/>
      <w:lvlJc w:val="left"/>
      <w:pPr>
        <w:ind w:left="0" w:hanging="907"/>
      </w:pPr>
      <w:rPr>
        <w:rFonts w:hint="default"/>
      </w:rPr>
    </w:lvl>
    <w:lvl w:ilvl="6">
      <w:start w:val="1"/>
      <w:numFmt w:val="decimal"/>
      <w:isLgl/>
      <w:lvlText w:val="%1.%2.%3.%4.%5.%6.%7."/>
      <w:lvlJc w:val="left"/>
      <w:pPr>
        <w:ind w:left="0" w:hanging="907"/>
      </w:pPr>
      <w:rPr>
        <w:rFonts w:hint="default"/>
      </w:rPr>
    </w:lvl>
    <w:lvl w:ilvl="7">
      <w:start w:val="1"/>
      <w:numFmt w:val="decimal"/>
      <w:isLgl/>
      <w:lvlText w:val="%1.%2.%3.%4.%5.%6.%7.%8."/>
      <w:lvlJc w:val="left"/>
      <w:pPr>
        <w:ind w:left="0" w:hanging="907"/>
      </w:pPr>
      <w:rPr>
        <w:rFonts w:hint="default"/>
      </w:rPr>
    </w:lvl>
    <w:lvl w:ilvl="8">
      <w:start w:val="1"/>
      <w:numFmt w:val="decimal"/>
      <w:isLgl/>
      <w:lvlText w:val="%1.%2.%3.%4.%5.%6.%7.%8.%9."/>
      <w:lvlJc w:val="left"/>
      <w:pPr>
        <w:ind w:left="0" w:hanging="907"/>
      </w:pPr>
      <w:rPr>
        <w:rFonts w:hint="default"/>
      </w:rPr>
    </w:lvl>
  </w:abstractNum>
  <w:abstractNum w:abstractNumId="44" w15:restartNumberingAfterBreak="0">
    <w:nsid w:val="7D836FC8"/>
    <w:multiLevelType w:val="hybridMultilevel"/>
    <w:tmpl w:val="DA8E1D20"/>
    <w:lvl w:ilvl="0" w:tplc="B54CC480">
      <w:start w:val="2"/>
      <w:numFmt w:val="bullet"/>
      <w:lvlText w:val="-"/>
      <w:lvlJc w:val="left"/>
      <w:pPr>
        <w:ind w:left="644" w:hanging="360"/>
      </w:pPr>
      <w:rPr>
        <w:rFonts w:ascii="Calibri" w:eastAsia="Times New Roman" w:hAnsi="Calibri"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5" w15:restartNumberingAfterBreak="0">
    <w:nsid w:val="7E7C2097"/>
    <w:multiLevelType w:val="multilevel"/>
    <w:tmpl w:val="CA3620F4"/>
    <w:lvl w:ilvl="0">
      <w:start w:val="1"/>
      <w:numFmt w:val="decimal"/>
      <w:lvlText w:val="%1."/>
      <w:lvlJc w:val="left"/>
      <w:pPr>
        <w:tabs>
          <w:tab w:val="num" w:pos="4510"/>
        </w:tabs>
        <w:ind w:left="4510" w:hanging="540"/>
      </w:pPr>
      <w:rPr>
        <w:rFonts w:hint="default"/>
      </w:rPr>
    </w:lvl>
    <w:lvl w:ilvl="1">
      <w:start w:val="1"/>
      <w:numFmt w:val="decimal"/>
      <w:lvlText w:val="%1.%2."/>
      <w:lvlJc w:val="left"/>
      <w:pPr>
        <w:tabs>
          <w:tab w:val="num" w:pos="4723"/>
        </w:tabs>
        <w:ind w:left="4723" w:hanging="540"/>
      </w:pPr>
      <w:rPr>
        <w:rFonts w:hint="default"/>
      </w:rPr>
    </w:lvl>
    <w:lvl w:ilvl="2">
      <w:start w:val="1"/>
      <w:numFmt w:val="decimal"/>
      <w:lvlText w:val="%1.%2.%3."/>
      <w:lvlJc w:val="left"/>
      <w:pPr>
        <w:tabs>
          <w:tab w:val="num" w:pos="5116"/>
        </w:tabs>
        <w:ind w:left="0" w:hanging="907"/>
      </w:pPr>
      <w:rPr>
        <w:rFonts w:hint="default"/>
      </w:rPr>
    </w:lvl>
    <w:lvl w:ilvl="3">
      <w:start w:val="1"/>
      <w:numFmt w:val="decimal"/>
      <w:lvlText w:val="%1.%2.%3.%4."/>
      <w:lvlJc w:val="left"/>
      <w:pPr>
        <w:tabs>
          <w:tab w:val="num" w:pos="5329"/>
        </w:tabs>
        <w:ind w:left="0" w:hanging="907"/>
      </w:pPr>
      <w:rPr>
        <w:rFonts w:hint="default"/>
      </w:rPr>
    </w:lvl>
    <w:lvl w:ilvl="4">
      <w:start w:val="1"/>
      <w:numFmt w:val="decimal"/>
      <w:lvlText w:val="%1.%2.%3.%4.%5."/>
      <w:lvlJc w:val="left"/>
      <w:pPr>
        <w:tabs>
          <w:tab w:val="num" w:pos="5902"/>
        </w:tabs>
        <w:ind w:left="0" w:hanging="907"/>
      </w:pPr>
      <w:rPr>
        <w:rFonts w:hint="default"/>
      </w:rPr>
    </w:lvl>
    <w:lvl w:ilvl="5">
      <w:start w:val="1"/>
      <w:numFmt w:val="decimal"/>
      <w:lvlText w:val="%1.%2.%3.%4.%5.%6."/>
      <w:lvlJc w:val="left"/>
      <w:pPr>
        <w:tabs>
          <w:tab w:val="num" w:pos="6115"/>
        </w:tabs>
        <w:ind w:left="6115" w:hanging="1080"/>
      </w:pPr>
      <w:rPr>
        <w:rFonts w:hint="default"/>
      </w:rPr>
    </w:lvl>
    <w:lvl w:ilvl="6">
      <w:start w:val="1"/>
      <w:numFmt w:val="decimal"/>
      <w:lvlText w:val="%1.%2.%3.%4.%5.%6.%7."/>
      <w:lvlJc w:val="left"/>
      <w:pPr>
        <w:tabs>
          <w:tab w:val="num" w:pos="6688"/>
        </w:tabs>
        <w:ind w:left="6688" w:hanging="1440"/>
      </w:pPr>
      <w:rPr>
        <w:rFonts w:hint="default"/>
      </w:rPr>
    </w:lvl>
    <w:lvl w:ilvl="7">
      <w:start w:val="1"/>
      <w:numFmt w:val="decimal"/>
      <w:lvlText w:val="%1.%2.%3.%4.%5.%6.%7.%8."/>
      <w:lvlJc w:val="left"/>
      <w:pPr>
        <w:tabs>
          <w:tab w:val="num" w:pos="6901"/>
        </w:tabs>
        <w:ind w:left="6901" w:hanging="1440"/>
      </w:pPr>
      <w:rPr>
        <w:rFonts w:hint="default"/>
      </w:rPr>
    </w:lvl>
    <w:lvl w:ilvl="8">
      <w:start w:val="1"/>
      <w:numFmt w:val="decimal"/>
      <w:lvlText w:val="%1.%2.%3.%4.%5.%6.%7.%8.%9."/>
      <w:lvlJc w:val="left"/>
      <w:pPr>
        <w:tabs>
          <w:tab w:val="num" w:pos="7474"/>
        </w:tabs>
        <w:ind w:left="7474" w:hanging="1800"/>
      </w:pPr>
      <w:rPr>
        <w:rFonts w:hint="default"/>
      </w:rPr>
    </w:lvl>
  </w:abstractNum>
  <w:num w:numId="1">
    <w:abstractNumId w:val="14"/>
  </w:num>
  <w:num w:numId="2">
    <w:abstractNumId w:val="15"/>
  </w:num>
  <w:num w:numId="3">
    <w:abstractNumId w:val="9"/>
  </w:num>
  <w:num w:numId="4">
    <w:abstractNumId w:val="1"/>
  </w:num>
  <w:num w:numId="5">
    <w:abstractNumId w:val="27"/>
  </w:num>
  <w:num w:numId="6">
    <w:abstractNumId w:val="35"/>
  </w:num>
  <w:num w:numId="7">
    <w:abstractNumId w:val="13"/>
  </w:num>
  <w:num w:numId="8">
    <w:abstractNumId w:val="33"/>
  </w:num>
  <w:num w:numId="9">
    <w:abstractNumId w:val="2"/>
  </w:num>
  <w:num w:numId="10">
    <w:abstractNumId w:val="32"/>
  </w:num>
  <w:num w:numId="11">
    <w:abstractNumId w:val="24"/>
  </w:num>
  <w:num w:numId="12">
    <w:abstractNumId w:val="25"/>
  </w:num>
  <w:num w:numId="13">
    <w:abstractNumId w:val="28"/>
  </w:num>
  <w:num w:numId="14">
    <w:abstractNumId w:val="42"/>
  </w:num>
  <w:num w:numId="15">
    <w:abstractNumId w:val="5"/>
  </w:num>
  <w:num w:numId="16">
    <w:abstractNumId w:val="44"/>
  </w:num>
  <w:num w:numId="17">
    <w:abstractNumId w:val="16"/>
  </w:num>
  <w:num w:numId="18">
    <w:abstractNumId w:val="7"/>
  </w:num>
  <w:num w:numId="19">
    <w:abstractNumId w:val="4"/>
  </w:num>
  <w:num w:numId="20">
    <w:abstractNumId w:val="29"/>
  </w:num>
  <w:num w:numId="21">
    <w:abstractNumId w:val="23"/>
  </w:num>
  <w:num w:numId="22">
    <w:abstractNumId w:val="19"/>
  </w:num>
  <w:num w:numId="23">
    <w:abstractNumId w:val="0"/>
  </w:num>
  <w:num w:numId="24">
    <w:abstractNumId w:val="8"/>
  </w:num>
  <w:num w:numId="25">
    <w:abstractNumId w:val="17"/>
  </w:num>
  <w:num w:numId="26">
    <w:abstractNumId w:val="36"/>
  </w:num>
  <w:num w:numId="27">
    <w:abstractNumId w:val="37"/>
  </w:num>
  <w:num w:numId="28">
    <w:abstractNumId w:val="20"/>
  </w:num>
  <w:num w:numId="29">
    <w:abstractNumId w:val="3"/>
  </w:num>
  <w:num w:numId="30">
    <w:abstractNumId w:val="11"/>
  </w:num>
  <w:num w:numId="31">
    <w:abstractNumId w:val="30"/>
  </w:num>
  <w:num w:numId="32">
    <w:abstractNumId w:val="39"/>
  </w:num>
  <w:num w:numId="33">
    <w:abstractNumId w:val="21"/>
  </w:num>
  <w:num w:numId="34">
    <w:abstractNumId w:val="34"/>
  </w:num>
  <w:num w:numId="35">
    <w:abstractNumId w:val="6"/>
  </w:num>
  <w:num w:numId="36">
    <w:abstractNumId w:val="41"/>
  </w:num>
  <w:num w:numId="37">
    <w:abstractNumId w:val="26"/>
  </w:num>
  <w:num w:numId="38">
    <w:abstractNumId w:val="38"/>
  </w:num>
  <w:num w:numId="39">
    <w:abstractNumId w:val="31"/>
  </w:num>
  <w:num w:numId="40">
    <w:abstractNumId w:val="45"/>
  </w:num>
  <w:num w:numId="41">
    <w:abstractNumId w:val="40"/>
  </w:num>
  <w:num w:numId="42">
    <w:abstractNumId w:val="18"/>
  </w:num>
  <w:num w:numId="43">
    <w:abstractNumId w:val="22"/>
  </w:num>
  <w:num w:numId="44">
    <w:abstractNumId w:val="43"/>
  </w:num>
  <w:num w:numId="45">
    <w:abstractNumId w:val="1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4A354A9-23CA-4408-918E-68F29238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pPr>
      <w:keepNext/>
      <w:jc w:val="center"/>
      <w:outlineLvl w:val="0"/>
    </w:pPr>
    <w:rPr>
      <w:rFonts w:ascii="Arial" w:hAnsi="Arial" w:cs="Arial"/>
      <w:b/>
      <w:bCs/>
    </w:rPr>
  </w:style>
  <w:style w:type="paragraph" w:styleId="berschrift2">
    <w:name w:val="heading 2"/>
    <w:basedOn w:val="Standard"/>
    <w:next w:val="Standard"/>
    <w:link w:val="berschrift2Zchn"/>
    <w:qFormat/>
    <w:pPr>
      <w:keepNext/>
      <w:outlineLvl w:val="1"/>
    </w:pPr>
    <w:rPr>
      <w:rFonts w:ascii="Arial" w:hAnsi="Arial" w:cs="Arial"/>
      <w:b/>
      <w:bCs/>
      <w:sz w:val="18"/>
    </w:rPr>
  </w:style>
  <w:style w:type="paragraph" w:styleId="berschrift4">
    <w:name w:val="heading 4"/>
    <w:basedOn w:val="Standard"/>
    <w:next w:val="Standard"/>
    <w:link w:val="berschrift4Zchn"/>
    <w:qFormat/>
    <w:pPr>
      <w:keepNext/>
      <w:outlineLvl w:val="3"/>
    </w:pPr>
    <w:rPr>
      <w:rFonts w:ascii="Arial" w:hAnsi="Arial" w:cs="Arial"/>
      <w:b/>
      <w:bCs/>
      <w:sz w:val="20"/>
    </w:rPr>
  </w:style>
  <w:style w:type="paragraph" w:styleId="berschrift5">
    <w:name w:val="heading 5"/>
    <w:basedOn w:val="Standard"/>
    <w:next w:val="Standard"/>
    <w:link w:val="berschrift5Zchn"/>
    <w:qFormat/>
    <w:pPr>
      <w:keepNext/>
      <w:outlineLvl w:val="4"/>
    </w:pPr>
    <w:rPr>
      <w:rFonts w:ascii="Arial" w:hAnsi="Arial" w:cs="Arial"/>
      <w:b/>
      <w:bCs/>
      <w:u w:val="single"/>
    </w:rPr>
  </w:style>
  <w:style w:type="paragraph" w:styleId="berschrift6">
    <w:name w:val="heading 6"/>
    <w:basedOn w:val="Standard"/>
    <w:next w:val="Standard"/>
    <w:link w:val="berschrift6Zchn"/>
    <w:qFormat/>
    <w:pPr>
      <w:keepNext/>
      <w:outlineLvl w:val="5"/>
    </w:pPr>
    <w:rPr>
      <w:rFonts w:ascii="Arial" w:hAnsi="Arial" w:cs="Arial"/>
      <w:b/>
      <w:bCs/>
      <w:u w:val="single"/>
    </w:rPr>
  </w:style>
  <w:style w:type="paragraph" w:styleId="berschrift7">
    <w:name w:val="heading 7"/>
    <w:basedOn w:val="Standard"/>
    <w:next w:val="Standard"/>
    <w:link w:val="berschrift7Zchn"/>
    <w:qFormat/>
    <w:pPr>
      <w:keepNext/>
      <w:outlineLvl w:val="6"/>
    </w:pPr>
    <w:rPr>
      <w:rFonts w:ascii="Arial" w:hAnsi="Arial" w:cs="Arial"/>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Arial" w:eastAsia="Times New Roman" w:hAnsi="Arial" w:cs="Arial"/>
      <w:b/>
      <w:bCs/>
      <w:sz w:val="24"/>
      <w:szCs w:val="24"/>
      <w:lang w:eastAsia="de-DE"/>
    </w:rPr>
  </w:style>
  <w:style w:type="character" w:customStyle="1" w:styleId="berschrift2Zchn">
    <w:name w:val="Überschrift 2 Zchn"/>
    <w:basedOn w:val="Absatz-Standardschriftart"/>
    <w:link w:val="berschrift2"/>
    <w:rPr>
      <w:rFonts w:ascii="Arial" w:eastAsia="Times New Roman" w:hAnsi="Arial" w:cs="Arial"/>
      <w:b/>
      <w:bCs/>
      <w:sz w:val="18"/>
      <w:szCs w:val="24"/>
      <w:lang w:eastAsia="de-DE"/>
    </w:rPr>
  </w:style>
  <w:style w:type="character" w:customStyle="1" w:styleId="berschrift4Zchn">
    <w:name w:val="Überschrift 4 Zchn"/>
    <w:basedOn w:val="Absatz-Standardschriftart"/>
    <w:link w:val="berschrift4"/>
    <w:rPr>
      <w:rFonts w:ascii="Arial" w:eastAsia="Times New Roman" w:hAnsi="Arial" w:cs="Arial"/>
      <w:b/>
      <w:bCs/>
      <w:sz w:val="20"/>
      <w:szCs w:val="24"/>
      <w:lang w:eastAsia="de-DE"/>
    </w:rPr>
  </w:style>
  <w:style w:type="character" w:customStyle="1" w:styleId="berschrift5Zchn">
    <w:name w:val="Überschrift 5 Zchn"/>
    <w:basedOn w:val="Absatz-Standardschriftart"/>
    <w:link w:val="berschrift5"/>
    <w:rPr>
      <w:rFonts w:ascii="Arial" w:eastAsia="Times New Roman" w:hAnsi="Arial" w:cs="Arial"/>
      <w:b/>
      <w:bCs/>
      <w:szCs w:val="24"/>
      <w:u w:val="single"/>
      <w:lang w:eastAsia="de-DE"/>
    </w:rPr>
  </w:style>
  <w:style w:type="character" w:customStyle="1" w:styleId="berschrift6Zchn">
    <w:name w:val="Überschrift 6 Zchn"/>
    <w:basedOn w:val="Absatz-Standardschriftart"/>
    <w:link w:val="berschrift6"/>
    <w:rPr>
      <w:rFonts w:ascii="Arial" w:eastAsia="Times New Roman" w:hAnsi="Arial" w:cs="Arial"/>
      <w:b/>
      <w:bCs/>
      <w:sz w:val="24"/>
      <w:szCs w:val="24"/>
      <w:u w:val="single"/>
      <w:lang w:eastAsia="de-DE"/>
    </w:rPr>
  </w:style>
  <w:style w:type="character" w:customStyle="1" w:styleId="berschrift7Zchn">
    <w:name w:val="Überschrift 7 Zchn"/>
    <w:basedOn w:val="Absatz-Standardschriftart"/>
    <w:link w:val="berschrift7"/>
    <w:rPr>
      <w:rFonts w:ascii="Arial" w:eastAsia="Times New Roman" w:hAnsi="Arial" w:cs="Arial"/>
      <w:b/>
      <w:bCs/>
      <w:sz w:val="16"/>
      <w:szCs w:val="24"/>
      <w:lang w:eastAsia="de-DE"/>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Pr>
      <w:rFonts w:ascii="Times New Roman" w:eastAsia="Times New Roman" w:hAnsi="Times New Roman" w:cs="Times New Roman"/>
      <w:sz w:val="24"/>
      <w:szCs w:val="24"/>
      <w:lang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styleId="Textkrper3">
    <w:name w:val="Body Text 3"/>
    <w:basedOn w:val="Standard"/>
    <w:link w:val="Textkrper3Zchn"/>
    <w:pPr>
      <w:overflowPunct w:val="0"/>
      <w:autoSpaceDE w:val="0"/>
      <w:autoSpaceDN w:val="0"/>
      <w:adjustRightInd w:val="0"/>
      <w:textAlignment w:val="baseline"/>
    </w:pPr>
    <w:rPr>
      <w:rFonts w:ascii="Arial" w:hAnsi="Arial"/>
      <w:szCs w:val="20"/>
    </w:rPr>
  </w:style>
  <w:style w:type="character" w:customStyle="1" w:styleId="Textkrper3Zchn">
    <w:name w:val="Textkörper 3 Zchn"/>
    <w:basedOn w:val="Absatz-Standardschriftart"/>
    <w:link w:val="Textkrper3"/>
    <w:rPr>
      <w:rFonts w:ascii="Arial" w:eastAsia="Times New Roman" w:hAnsi="Arial" w:cs="Times New Roman"/>
      <w:szCs w:val="20"/>
      <w:lang w:eastAsia="de-DE"/>
    </w:rPr>
  </w:style>
  <w:style w:type="paragraph" w:styleId="Textkrper2">
    <w:name w:val="Body Text 2"/>
    <w:basedOn w:val="Standard"/>
    <w:link w:val="Textkrper2Zchn"/>
    <w:pPr>
      <w:ind w:right="284"/>
    </w:pPr>
    <w:rPr>
      <w:rFonts w:ascii="Arial" w:hAnsi="Arial" w:cs="Arial"/>
    </w:rPr>
  </w:style>
  <w:style w:type="character" w:customStyle="1" w:styleId="Textkrper2Zchn">
    <w:name w:val="Textkörper 2 Zchn"/>
    <w:basedOn w:val="Absatz-Standardschriftart"/>
    <w:link w:val="Textkrper2"/>
    <w:rPr>
      <w:rFonts w:ascii="Arial" w:eastAsia="Times New Roman" w:hAnsi="Arial" w:cs="Arial"/>
      <w:szCs w:val="24"/>
      <w:lang w:eastAsia="de-DE"/>
    </w:rPr>
  </w:style>
  <w:style w:type="paragraph" w:styleId="Funotentext">
    <w:name w:val="footnote text"/>
    <w:basedOn w:val="Standard"/>
    <w:link w:val="FunotentextZchn"/>
    <w:semiHidden/>
    <w:rPr>
      <w:rFonts w:ascii="Arial" w:hAnsi="Arial" w:cs="Arial"/>
      <w:sz w:val="20"/>
      <w:szCs w:val="20"/>
    </w:rPr>
  </w:style>
  <w:style w:type="character" w:customStyle="1" w:styleId="FunotentextZchn">
    <w:name w:val="Fußnotentext Zchn"/>
    <w:basedOn w:val="Absatz-Standardschriftart"/>
    <w:link w:val="Funotentext"/>
    <w:semiHidden/>
    <w:rPr>
      <w:rFonts w:ascii="Arial" w:eastAsia="Times New Roman" w:hAnsi="Arial" w:cs="Arial"/>
      <w:sz w:val="20"/>
      <w:szCs w:val="20"/>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de-DE"/>
    </w:rPr>
  </w:style>
  <w:style w:type="paragraph" w:styleId="Listenabsatz">
    <w:name w:val="List Paragraph"/>
    <w:basedOn w:val="Standard"/>
    <w:uiPriority w:val="34"/>
    <w:qFormat/>
    <w:pPr>
      <w:ind w:left="720"/>
      <w:contextualSpacing/>
    </w:pPr>
  </w:style>
  <w:style w:type="character" w:styleId="Funotenzeichen">
    <w:name w:val="footnote reference"/>
    <w:basedOn w:val="Absatz-Standardschriftart"/>
    <w:uiPriority w:val="99"/>
    <w:semiHidden/>
    <w:unhideWhenUsed/>
    <w:rPr>
      <w:vertAlign w:val="superscript"/>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pPr>
      <w:spacing w:before="100" w:beforeAutospacing="1" w:after="100" w:afterAutospacing="1"/>
    </w:pPr>
  </w:style>
  <w:style w:type="character" w:styleId="Hervorhebung">
    <w:name w:val="Emphasis"/>
    <w:basedOn w:val="Absatz-Standardschriftart"/>
    <w:uiPriority w:val="20"/>
    <w:qFormat/>
    <w:rPr>
      <w:i w:val="0"/>
      <w:iCs w:val="0"/>
    </w:rPr>
  </w:style>
  <w:style w:type="character" w:customStyle="1" w:styleId="zit">
    <w:name w:val="zit"/>
    <w:basedOn w:val="Absatz-Standardschriftart"/>
  </w:style>
  <w:style w:type="table" w:styleId="MittleresRaster2-Akzent2">
    <w:name w:val="Medium Grid 2 Accent 2"/>
    <w:basedOn w:val="NormaleTabelle"/>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3-Akzent5">
    <w:name w:val="Medium Grid 3 Accent 5"/>
    <w:basedOn w:val="NormaleTabelle"/>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FarbigeListe-Akzent2">
    <w:name w:val="Colorful List Accent 2"/>
    <w:basedOn w:val="NormaleTabelle"/>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de-DE"/>
    </w:rPr>
  </w:style>
  <w:style w:type="paragraph" w:styleId="Inhaltsverzeichnisberschrift">
    <w:name w:val="TOC Heading"/>
    <w:basedOn w:val="berschrift1"/>
    <w:next w:val="Standard"/>
    <w:uiPriority w:val="39"/>
    <w:semiHidden/>
    <w:unhideWhenUsed/>
    <w:qFormat/>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de-DE"/>
    </w:rPr>
  </w:style>
  <w:style w:type="paragraph" w:styleId="Verzeichnis1">
    <w:name w:val="toc 1"/>
    <w:basedOn w:val="Standard"/>
    <w:next w:val="Standard"/>
    <w:autoRedefine/>
    <w:uiPriority w:val="39"/>
    <w:unhideWhenUsed/>
    <w:pPr>
      <w:tabs>
        <w:tab w:val="left" w:pos="284"/>
        <w:tab w:val="right" w:leader="dot" w:pos="9062"/>
      </w:tabs>
      <w:spacing w:before="240" w:after="100" w:line="259" w:lineRule="auto"/>
      <w:ind w:left="-426" w:hanging="283"/>
      <w:jc w:val="left"/>
    </w:pPr>
    <w:rPr>
      <w:rFonts w:asciiTheme="minorHAnsi" w:hAnsiTheme="minorHAnsi" w:cstheme="minorBidi"/>
      <w:b/>
      <w:noProof/>
      <w:szCs w:val="22"/>
    </w:rPr>
  </w:style>
  <w:style w:type="paragraph" w:styleId="Verzeichnis2">
    <w:name w:val="toc 2"/>
    <w:basedOn w:val="Standard"/>
    <w:next w:val="Standard"/>
    <w:autoRedefine/>
    <w:uiPriority w:val="39"/>
    <w:unhideWhenUsed/>
    <w:pPr>
      <w:tabs>
        <w:tab w:val="left" w:pos="0"/>
        <w:tab w:val="right" w:leader="dot" w:pos="9062"/>
      </w:tabs>
      <w:spacing w:line="259" w:lineRule="auto"/>
      <w:ind w:left="-426"/>
      <w:jc w:val="left"/>
    </w:pPr>
    <w:rPr>
      <w:rFonts w:asciiTheme="minorHAnsi" w:hAnsiTheme="minorHAnsi" w:cstheme="minorBidi"/>
      <w:szCs w:val="22"/>
    </w:rPr>
  </w:style>
  <w:style w:type="paragraph" w:styleId="Verzeichnis3">
    <w:name w:val="toc 3"/>
    <w:basedOn w:val="Standard"/>
    <w:next w:val="Standard"/>
    <w:autoRedefine/>
    <w:uiPriority w:val="39"/>
    <w:unhideWhenUsed/>
    <w:pPr>
      <w:tabs>
        <w:tab w:val="left" w:pos="1134"/>
        <w:tab w:val="right" w:leader="dot" w:pos="8437"/>
      </w:tabs>
      <w:spacing w:after="100"/>
      <w:ind w:left="567" w:hanging="567"/>
    </w:pPr>
  </w:style>
  <w:style w:type="paragraph" w:styleId="Verzeichnis4">
    <w:name w:val="toc 4"/>
    <w:basedOn w:val="Standard"/>
    <w:next w:val="Standard"/>
    <w:autoRedefine/>
    <w:uiPriority w:val="39"/>
    <w:unhideWhenUsed/>
    <w:pPr>
      <w:tabs>
        <w:tab w:val="left" w:pos="1276"/>
        <w:tab w:val="right" w:leader="dot" w:pos="8437"/>
      </w:tabs>
      <w:spacing w:after="100"/>
      <w:ind w:left="851" w:hanging="376"/>
    </w:pPr>
  </w:style>
  <w:style w:type="paragraph" w:styleId="Verzeichnis5">
    <w:name w:val="toc 5"/>
    <w:basedOn w:val="Standard"/>
    <w:next w:val="Standard"/>
    <w:autoRedefine/>
    <w:uiPriority w:val="39"/>
    <w:unhideWhenUsed/>
    <w:pPr>
      <w:tabs>
        <w:tab w:val="left" w:pos="1843"/>
        <w:tab w:val="right" w:leader="dot" w:pos="8437"/>
      </w:tabs>
      <w:spacing w:after="100"/>
      <w:ind w:left="1134" w:hanging="2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241721">
      <w:bodyDiv w:val="1"/>
      <w:marLeft w:val="0"/>
      <w:marRight w:val="0"/>
      <w:marTop w:val="0"/>
      <w:marBottom w:val="0"/>
      <w:divBdr>
        <w:top w:val="none" w:sz="0" w:space="0" w:color="auto"/>
        <w:left w:val="none" w:sz="0" w:space="0" w:color="auto"/>
        <w:bottom w:val="none" w:sz="0" w:space="0" w:color="auto"/>
        <w:right w:val="none" w:sz="0" w:space="0" w:color="auto"/>
      </w:divBdr>
    </w:div>
    <w:div w:id="1150638856">
      <w:bodyDiv w:val="1"/>
      <w:marLeft w:val="0"/>
      <w:marRight w:val="0"/>
      <w:marTop w:val="0"/>
      <w:marBottom w:val="0"/>
      <w:divBdr>
        <w:top w:val="none" w:sz="0" w:space="0" w:color="auto"/>
        <w:left w:val="none" w:sz="0" w:space="0" w:color="auto"/>
        <w:bottom w:val="none" w:sz="0" w:space="0" w:color="auto"/>
        <w:right w:val="none" w:sz="0" w:space="0" w:color="auto"/>
      </w:divBdr>
      <w:divsChild>
        <w:div w:id="326203349">
          <w:marLeft w:val="0"/>
          <w:marRight w:val="0"/>
          <w:marTop w:val="0"/>
          <w:marBottom w:val="0"/>
          <w:divBdr>
            <w:top w:val="none" w:sz="0" w:space="0" w:color="auto"/>
            <w:left w:val="none" w:sz="0" w:space="0" w:color="auto"/>
            <w:bottom w:val="none" w:sz="0" w:space="0" w:color="auto"/>
            <w:right w:val="none" w:sz="0" w:space="0" w:color="auto"/>
          </w:divBdr>
          <w:divsChild>
            <w:div w:id="390469068">
              <w:marLeft w:val="0"/>
              <w:marRight w:val="0"/>
              <w:marTop w:val="0"/>
              <w:marBottom w:val="0"/>
              <w:divBdr>
                <w:top w:val="none" w:sz="0" w:space="0" w:color="auto"/>
                <w:left w:val="none" w:sz="0" w:space="0" w:color="auto"/>
                <w:bottom w:val="none" w:sz="0" w:space="0" w:color="auto"/>
                <w:right w:val="none" w:sz="0" w:space="0" w:color="auto"/>
              </w:divBdr>
              <w:divsChild>
                <w:div w:id="828902725">
                  <w:marLeft w:val="405"/>
                  <w:marRight w:val="75"/>
                  <w:marTop w:val="0"/>
                  <w:marBottom w:val="0"/>
                  <w:divBdr>
                    <w:top w:val="none" w:sz="0" w:space="0" w:color="auto"/>
                    <w:left w:val="none" w:sz="0" w:space="0" w:color="auto"/>
                    <w:bottom w:val="none" w:sz="0" w:space="0" w:color="auto"/>
                    <w:right w:val="none" w:sz="0" w:space="0" w:color="auto"/>
                  </w:divBdr>
                  <w:divsChild>
                    <w:div w:id="1271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B62F1-F375-4424-BFCA-0E1E70EC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Landkreis Göttingen</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Stolberg Evgeniya</dc:creator>
  <cp:lastModifiedBy>Schrader, Andree</cp:lastModifiedBy>
  <cp:revision>15</cp:revision>
  <cp:lastPrinted>2020-03-04T12:45:00Z</cp:lastPrinted>
  <dcterms:created xsi:type="dcterms:W3CDTF">2021-07-02T05:54:00Z</dcterms:created>
  <dcterms:modified xsi:type="dcterms:W3CDTF">2023-06-05T12:55:00Z</dcterms:modified>
</cp:coreProperties>
</file>